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E8E5A"/>
          <w:sz w:val="15"/>
          <w:szCs w:val="15"/>
        </w:rPr>
        <w:t xml:space="preserve">THE BIZCOM ENGINE · ONE DOCUMENT — ALL CHANGES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222E"/>
          <w:sz w:val="27"/>
          <w:szCs w:val="27"/>
        </w:rPr>
        <w:t xml:space="preserve">Full Change List, All Sections — 9 October 2026</w:t>
      </w:r>
    </w:p>
    <w:p>
      <w:pPr>
        <w:spacing w:after="75" w:line="250"/>
      </w:pPr>
      <w:r>
        <w:rPr>
          <w:rFonts w:ascii="Calibri" w:cs="Calibri" w:eastAsia="Calibri" w:hAnsi="Calibri"/>
          <w:b/>
          <w:bCs/>
          <w:color w:val="1A222E"/>
          <w:sz w:val="19"/>
          <w:szCs w:val="19"/>
        </w:rPr>
        <w:t xml:space="preserve">How to read this: </w:t>
      </w:r>
      <w:r>
        <w:rPr>
          <w:rFonts w:ascii="Calibri" w:cs="Calibri" w:eastAsia="Calibri" w:hAnsi="Calibri"/>
          <w:color w:val="1A222E"/>
          <w:sz w:val="19"/>
          <w:szCs w:val="19"/>
        </w:rPr>
        <w:t xml:space="preserve">one table per section. Column 1 = what is on screen today, column 2 = what to do, column 3 = how we check it. ★ = blocks any client demo, do first. You never analyse or invent anything: wherever analysis or data is needed, TBL supplies a ready Excel file to import (the three files are listed at the end). September is a PARTIAL month everywhere: label it “(partial)” and exclude it from every comparison and flag.</w:t>
      </w:r>
    </w:p>
    <w:p>
      <w:pPr>
        <w:pStyle w:val="Heading2"/>
        <w:spacing w:after="60" w:before="170"/>
      </w:pPr>
      <w:r>
        <w:rPr>
          <w:rFonts w:ascii="Calibri" w:cs="Calibri" w:eastAsia="Calibri" w:hAnsi="Calibri"/>
          <w:b/>
          <w:bCs/>
          <w:color w:val="1E8E5A"/>
          <w:sz w:val="22"/>
          <w:szCs w:val="22"/>
        </w:rPr>
        <w:t xml:space="preserve">1 · MEDIA (Rivoli) — bug fixes</w:t>
      </w:r>
    </w:p>
    <w:p>
      <w:pPr>
        <w:spacing w:after="75" w:line="250"/>
      </w:pPr>
      <w:r>
        <w:rPr>
          <w:rFonts w:ascii="Calibri" w:cs="Calibri" w:eastAsia="Calibri" w:hAnsi="Calibri"/>
          <w:b/>
          <w:bCs/>
          <w:color w:val="1A222E"/>
          <w:sz w:val="19"/>
          <w:szCs w:val="19"/>
        </w:rPr>
        <w:t xml:space="preserve">Already fixed and verified, keep as is: </w:t>
      </w:r>
      <w:r>
        <w:rPr>
          <w:rFonts w:ascii="Calibri" w:cs="Calibri" w:eastAsia="Calibri" w:hAnsi="Calibri"/>
          <w:color w:val="1A222E"/>
          <w:sz w:val="19"/>
          <w:szCs w:val="19"/>
        </w:rPr>
        <w:t xml:space="preserve">“Revenue coverage” rename, blended CTR from raw clicks with Google Interactions excluded, scores removed, conversions-vs-site-purchases note. Google spend matches our file to the dirham.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2450"/>
      </w:tblGrid>
      <w:tr>
        <w:tc>
          <w:tcPr>
            <w:tcW w:type="dxa" w:w="26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On screen today</w:t>
            </w:r>
          </w:p>
        </w:tc>
        <w:tc>
          <w:tcPr>
            <w:tcW w:type="dxa" w:w="41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What to do</w:t>
            </w:r>
          </w:p>
        </w:tc>
        <w:tc>
          <w:tcPr>
            <w:tcW w:type="dxa" w:w="245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★ Meta spend AED 431K (all periods)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Meta is loading incompletely. Load BOTH Meta ad accounts (Rivoli Group AND Hour Choice) from the combined file TBL sent — the verified total is ~AED 2.02M Jan–Sep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Meta reconciles to the combined file to the dirham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★ Campaign table: identical values (all Coach rows ~48x, all Tissot ~45x), old-period campaigns in 2026 views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Fix the join so each campaign shows its own numbers, and fix the period filter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two campaigns share identical CTR and ROAS; only in-period campaigns appear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Google CTR 25.15% in the platform table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Same rule as the blended card: Google's column is Interactions. Label it “interaction rate” or show n/a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CTR above ~3% anywhere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Meta ROAS 18.55x in the platform table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160 conversions on AED 431K cannot give 18.55x. Platform ROAS shows platform-reported revenue or nothing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Every ROAS traces to a platform-reported revenue field</w:t>
            </w:r>
          </w:p>
        </w:tc>
      </w:tr>
    </w:tbl>
    <w:p>
      <w:pPr>
        <w:pStyle w:val="Heading2"/>
        <w:spacing w:after="60" w:before="170"/>
      </w:pPr>
      <w:r>
        <w:rPr>
          <w:rFonts w:ascii="Calibri" w:cs="Calibri" w:eastAsia="Calibri" w:hAnsi="Calibri"/>
          <w:b/>
          <w:bCs/>
          <w:color w:val="1E8E5A"/>
          <w:sz w:val="22"/>
          <w:szCs w:val="22"/>
        </w:rPr>
        <w:t xml:space="preserve">2 · TREND &amp; ANALYSIS — every tab (new features)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2450"/>
      </w:tblGrid>
      <w:tr>
        <w:tc>
          <w:tcPr>
            <w:tcW w:type="dxa" w:w="26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Feature</w:t>
            </w:r>
          </w:p>
        </w:tc>
        <w:tc>
          <w:tcPr>
            <w:tcW w:type="dxa" w:w="41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45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Monthly trend lines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“All Months” is a trend view, not one big total: a small month-by-month line under each headline number (the data is already monthly)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Each headline card shows its monthly line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September rule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Mark September “(partial)” and exclude it from deltas, flags and comparisons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comparison uses September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Delta chips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On every card, grey: vs previous month (month view) or last full month vs average of the 3 before (All Months)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Chips render everywhere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Biggest mover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One line per section, rules-based, no adjectives: the largest change between full months, e.g. “First-time buyers 890 → 948”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One mechanical line per section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TBL Reads strip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Top of each tab: “TBL reads this period”, max 3 bullets, imported from the Reads Excel file. If no Reads exist for a period, show “TBL read pending”. The engine NEVER writes or edits these sentences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Strip renders from the file; 13 bullets already supplied</w:t>
            </w:r>
          </w:p>
        </w:tc>
      </w:tr>
    </w:tbl>
    <w:p>
      <w:pPr>
        <w:pStyle w:val="Heading2"/>
        <w:spacing w:after="60" w:before="170"/>
      </w:pPr>
      <w:r>
        <w:rPr>
          <w:rFonts w:ascii="Calibri" w:cs="Calibri" w:eastAsia="Calibri" w:hAnsi="Calibri"/>
          <w:b/>
          <w:bCs/>
          <w:color w:val="1E8E5A"/>
          <w:sz w:val="22"/>
          <w:szCs w:val="22"/>
        </w:rPr>
        <w:t xml:space="preserve">3 · CREATIVE (Union Coop)</w:t>
      </w:r>
    </w:p>
    <w:p>
      <w:pPr>
        <w:spacing w:after="75" w:line="250"/>
      </w:pPr>
      <w:r>
        <w:rPr>
          <w:rFonts w:ascii="Calibri" w:cs="Calibri" w:eastAsia="Calibri" w:hAnsi="Calibri"/>
          <w:b/>
          <w:bCs/>
          <w:color w:val="1A222E"/>
          <w:sz w:val="19"/>
          <w:szCs w:val="19"/>
        </w:rPr>
        <w:t xml:space="preserve">Load import file v3 first </w:t>
      </w:r>
      <w:r>
        <w:rPr>
          <w:rFonts w:ascii="Calibri" w:cs="Calibri" w:eastAsia="Calibri" w:hAnsi="Calibri"/>
          <w:color w:val="1A222E"/>
          <w:sz w:val="19"/>
          <w:szCs w:val="19"/>
        </w:rPr>
        <w:t xml:space="preserve">(UnionCoop-Creative-WhyItWorked-Import.xlsx) — it fixes the “data not available for All months” box and carries everything below, pre-computed.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2450"/>
      </w:tblGrid>
      <w:tr>
        <w:tc>
          <w:tcPr>
            <w:tcW w:type="dxa" w:w="26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On screen today</w:t>
            </w:r>
          </w:p>
        </w:tc>
        <w:tc>
          <w:tcPr>
            <w:tcW w:type="dxa" w:w="41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What to do</w:t>
            </w:r>
          </w:p>
        </w:tc>
        <w:tc>
          <w:tcPr>
            <w:tcW w:type="dxa" w:w="245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Component scores 57 / 78 with “· 50%” labels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Remove the 0–100 numbers and weight labels (same rule as the composite). Show the raw values only: 1.63x frequency, 4.03% active engagement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scored number on the Creative tab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One endless grid of coloured cards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Group the gallery into three collapsible bands using the Band column in the import: Top (≥2x monthly median), Core, Low. Top open by default; giveaway badges stay on inside bands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Gallery shows Top / Core / Low groups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Coloured squares instead of creatives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Every card links out via the Post URL column (in the import). Real thumbnail images: monthly Top 3 only, supplied by TBL as screenshots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Cards click through to the actual Instagram post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cuts shown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New row of cards from the “Creative Cuts” sheet: engagement by Language (Arabic 0.73% vs Both 0.40% vs English 0.20%), by Format, by Time slot, Action mix (54% comments / 40% shares / 6% saves), Follows from posts, Giveaway vs non-giveaway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Cuts cards render from the sheet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trend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Monthly lines for median engagement, frequency, output volume, reach per post + a giveaway-share-of-actions line (all in Monthly Benchmarks sheet)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Trend lines render</w:t>
            </w:r>
          </w:p>
        </w:tc>
      </w:tr>
    </w:tbl>
    <w:p>
      <w:pPr>
        <w:pStyle w:val="Heading2"/>
        <w:spacing w:after="60" w:before="170"/>
      </w:pPr>
      <w:r>
        <w:rPr>
          <w:rFonts w:ascii="Calibri" w:cs="Calibri" w:eastAsia="Calibri" w:hAnsi="Calibri"/>
          <w:b/>
          <w:bCs/>
          <w:color w:val="1E8E5A"/>
          <w:sz w:val="22"/>
          <w:szCs w:val="22"/>
        </w:rPr>
        <w:t xml:space="preserve">4 · COMPETITION (Rivoli and Union Coop)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2450"/>
      </w:tblGrid>
      <w:tr>
        <w:tc>
          <w:tcPr>
            <w:tcW w:type="dxa" w:w="26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On screen today</w:t>
            </w:r>
          </w:p>
        </w:tc>
        <w:tc>
          <w:tcPr>
            <w:tcW w:type="dxa" w:w="41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What to do</w:t>
            </w:r>
          </w:p>
        </w:tc>
        <w:tc>
          <w:tcPr>
            <w:tcW w:type="dxa" w:w="245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★ Union Coop: dropdown says LuLu, panel says “Choose a competitor”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Wire the selector to the panel, and load Carrefour + LuLu from the capture workbook TBL sent (one capture tab per competitor, same loader as EDIT, two configuration rows)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Selecting a competitor shows its data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Floating dark overlay with a Close button (both clients)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Competition renders as a normal page section when selected, never an overlay. For the Creative comparison: two labelled columns — “Union Coop — our organic posts” vs “[Competitor] — their paid ads” — holding the theme / language / format pairs with the label “Their paid ads vs our organic posts”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Inline section, labelled columns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Activity Detail table led by Library ID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Group the table by THEME (header with count, e.g. “Gifting — 6 ads”); columns: format, platforms, days running; Library ID last, small grey. Add a theme-mix bar above (EDIT: Catalog 15 / Offers 9 / Spotlight 7 / Gifting 6)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Table reads by theme; ID demoted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“History N/A” and no movement shown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Two charts from the capture already loaded: Launch timeline (ads by start month — EDIT: 3 May, 1 late May, 3 Jul, then 5+6+19 through Sept) and Age profile (90+ days vs under 2 weeks). From capture #2 (Nov): new / stopped / still-running deltas and the activity trend begins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Both charts render from capture #1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creatives visible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Gallery behind a click from the “Ad Screenshots” sheet in each capture workbook (already supplied, mapped to Library IDs)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Gallery opens with real ad images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Format &amp; language mix card from the brief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Confirm it is built; for Union Coop add two pairs: Tempo (their new ads/month vs our posts/month, labelled Aligned) and Prize mechanics (our giveaway share vs their shop-&amp;-win count)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Cards render with labels</w:t>
            </w:r>
          </w:p>
        </w:tc>
      </w:tr>
    </w:tbl>
    <w:p>
      <w:pPr>
        <w:pStyle w:val="Heading2"/>
        <w:spacing w:after="60" w:before="170"/>
      </w:pPr>
      <w:r>
        <w:rPr>
          <w:rFonts w:ascii="Calibri" w:cs="Calibri" w:eastAsia="Calibri" w:hAnsi="Calibri"/>
          <w:b/>
          <w:bCs/>
          <w:color w:val="1E8E5A"/>
          <w:sz w:val="22"/>
          <w:szCs w:val="22"/>
        </w:rPr>
        <w:t xml:space="preserve">5 · CONSUMER (Rivoli) — not yet built</w:t>
      </w:r>
    </w:p>
    <w:p>
      <w:pPr>
        <w:spacing w:after="75" w:line="250"/>
      </w:pPr>
      <w:r>
        <w:rPr>
          <w:rFonts w:ascii="Calibri" w:cs="Calibri" w:eastAsia="Calibri" w:hAnsi="Calibri"/>
          <w:color w:val="1A222E"/>
          <w:sz w:val="19"/>
          <w:szCs w:val="19"/>
        </w:rPr>
        <w:t xml:space="preserve">Build per the Consumer Section Build Brief (1 Oct) and the two placement screenshots: a new Consumer tab with six cards in three states, plus the two “Aligned” pairs at the bottom of the Media tab. </w:t>
      </w:r>
      <w:r>
        <w:rPr>
          <w:rFonts w:ascii="Calibri" w:cs="Calibri" w:eastAsia="Calibri" w:hAnsi="Calibri"/>
          <w:b/>
          <w:bCs/>
          <w:color w:val="1A222E"/>
          <w:sz w:val="19"/>
          <w:szCs w:val="19"/>
        </w:rPr>
        <w:t xml:space="preserve">Load Rivoli-Consumer-Import.xlsx</w:t>
      </w:r>
      <w:r>
        <w:rPr>
          <w:rFonts w:ascii="Calibri" w:cs="Calibri" w:eastAsia="Calibri" w:hAnsi="Calibri"/>
          <w:color w:val="1A222E"/>
          <w:sz w:val="19"/>
          <w:szCs w:val="19"/>
        </w:rPr>
        <w:t xml:space="preserve">: it carries the monthly series with deltas and partial flags (first-time buyers Jan 1,753 → Jun 890, stabilising Jul–Aug), the cohort matrix (repeat % per cohort, blanks = GA4 privacy threshold), and the fixed card values with their exact labels. Hard-coded labels: card 4 is never “returning customers”; card 5 is “Visitor retention”; card 6 stays grey — “Awaiting order export — Thirty31North”. Trend and delta rules from section 2 apply; September is partial here too.</w:t>
      </w:r>
    </w:p>
    <w:p>
      <w:pPr>
        <w:pStyle w:val="Heading2"/>
        <w:spacing w:after="60" w:before="170"/>
      </w:pPr>
      <w:r>
        <w:rPr>
          <w:rFonts w:ascii="Calibri" w:cs="Calibri" w:eastAsia="Calibri" w:hAnsi="Calibri"/>
          <w:b/>
          <w:bCs/>
          <w:color w:val="1E8E5A"/>
          <w:sz w:val="22"/>
          <w:szCs w:val="22"/>
        </w:rPr>
        <w:t xml:space="preserve">6 · The three companion Excel files (import these)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2450"/>
      </w:tblGrid>
      <w:tr>
        <w:tc>
          <w:tcPr>
            <w:tcW w:type="dxa" w:w="26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File</w:t>
            </w:r>
          </w:p>
        </w:tc>
        <w:tc>
          <w:tcPr>
            <w:tcW w:type="dxa" w:w="41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What it is</w:t>
            </w:r>
          </w:p>
        </w:tc>
        <w:tc>
          <w:tcPr>
            <w:tcW w:type="dxa" w:w="245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Update rhythm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UnionCoop-Creative-WhyItWorked-Import.xlsx (v3)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Per-post metrics with URL, bands, language, giveaway flag, follows; monthly Top 3 with factors; monthly + ALL benchmarks; Creative Cuts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Monthly, from TBL with the data drop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Rivoli-Consumer-Import.xlsx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Consumer monthly series with deltas and partial flags; cohort matrix; fixed card values and labels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Monthly, from TBL</w:t>
            </w:r>
          </w:p>
        </w:tc>
      </w:tr>
      <w:tr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TBL-Reads-Import-Template-and-First-Fill.xlsx</w:t>
            </w:r>
          </w:p>
        </w:tc>
        <w:tc>
          <w:tcPr>
            <w:tcW w:type="dxa" w:w="4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The analysis strip: 13 bullets across Media / Creative / Consumer / Competition, each tied to a card</w:t>
            </w:r>
          </w:p>
        </w:tc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Monthly, from TBL</w:t>
            </w:r>
          </w:p>
        </w:tc>
      </w:tr>
    </w:tbl>
    <w:p>
      <w:pPr>
        <w:pStyle w:val="Heading2"/>
        <w:spacing w:after="60" w:before="170"/>
      </w:pPr>
      <w:r>
        <w:rPr>
          <w:rFonts w:ascii="Calibri" w:cs="Calibri" w:eastAsia="Calibri" w:hAnsi="Calibri"/>
          <w:b/>
          <w:bCs/>
          <w:color w:val="1E8E5A"/>
          <w:sz w:val="22"/>
          <w:szCs w:val="22"/>
        </w:rPr>
        <w:t xml:space="preserve">7 · Acceptance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850"/>
      </w:tblGrid>
      <w:tr>
        <w:tc>
          <w:tcPr>
            <w:tcW w:type="dxa" w:w="330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Check</w:t>
            </w:r>
          </w:p>
        </w:tc>
        <w:tc>
          <w:tcPr>
            <w:tcW w:type="dxa" w:w="5850"/>
            <w:shd w:fill="EEF3F0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2E"/>
                <w:sz w:val="17"/>
                <w:szCs w:val="17"/>
              </w:rPr>
              <w:t xml:space="preserve">Pass condition</w:t>
            </w:r>
          </w:p>
        </w:tc>
      </w:tr>
      <w:tr>
        <w:tc>
          <w:tcPr>
            <w:tcW w:type="dxa" w:w="3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Meta reconciliation</w:t>
            </w:r>
          </w:p>
        </w:tc>
        <w:tc>
          <w:tcPr>
            <w:tcW w:type="dxa" w:w="58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All-periods Meta spend equals the combined two-account file to the dirham</w:t>
            </w:r>
          </w:p>
        </w:tc>
      </w:tr>
      <w:tr>
        <w:tc>
          <w:tcPr>
            <w:tcW w:type="dxa" w:w="3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invented numbers</w:t>
            </w:r>
          </w:p>
        </w:tc>
        <w:tc>
          <w:tcPr>
            <w:tcW w:type="dxa" w:w="58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No scored 0–100 anywhere; no CTR above ~3%; every ROAS traces to platform-reported revenue; campaign rows unique</w:t>
            </w:r>
          </w:p>
        </w:tc>
      </w:tr>
      <w:tr>
        <w:tc>
          <w:tcPr>
            <w:tcW w:type="dxa" w:w="3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Trend layer</w:t>
            </w:r>
          </w:p>
        </w:tc>
        <w:tc>
          <w:tcPr>
            <w:tcW w:type="dxa" w:w="58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Monthly lines + delta chips + one biggest-mover line per section; September excluded from comparisons</w:t>
            </w:r>
          </w:p>
        </w:tc>
      </w:tr>
      <w:tr>
        <w:tc>
          <w:tcPr>
            <w:tcW w:type="dxa" w:w="3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Creative</w:t>
            </w:r>
          </w:p>
        </w:tc>
        <w:tc>
          <w:tcPr>
            <w:tcW w:type="dxa" w:w="58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Bands render; cards click through; cuts and trends from import v3; no component scores</w:t>
            </w:r>
          </w:p>
        </w:tc>
      </w:tr>
      <w:tr>
        <w:tc>
          <w:tcPr>
            <w:tcW w:type="dxa" w:w="3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Competition</w:t>
            </w:r>
          </w:p>
        </w:tc>
        <w:tc>
          <w:tcPr>
            <w:tcW w:type="dxa" w:w="58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Selector works for Carrefour/LuLu; inline section; theme-grouped table; launch timeline; gallery opens</w:t>
            </w:r>
          </w:p>
        </w:tc>
      </w:tr>
      <w:tr>
        <w:tc>
          <w:tcPr>
            <w:tcW w:type="dxa" w:w="3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Consumer</w:t>
            </w:r>
          </w:p>
        </w:tc>
        <w:tc>
          <w:tcPr>
            <w:tcW w:type="dxa" w:w="58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Tab built per brief; import loaded; three states and exact labels render; card 6 grey with owner</w:t>
            </w:r>
          </w:p>
        </w:tc>
      </w:tr>
      <w:tr>
        <w:tc>
          <w:tcPr>
            <w:tcW w:type="dxa" w:w="3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Reads</w:t>
            </w:r>
          </w:p>
        </w:tc>
        <w:tc>
          <w:tcPr>
            <w:tcW w:type="dxa" w:w="58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2E"/>
                <w:sz w:val="17"/>
                <w:szCs w:val="17"/>
              </w:rPr>
              <w:t xml:space="preserve">Strip renders 13 supplied bullets; “TBL read pending” when empty; engine never generates text</w:t>
            </w:r>
          </w:p>
        </w:tc>
      </w:tr>
    </w:tbl>
    <w:p>
      <w:pPr>
        <w:spacing w:after="75" w:line="250"/>
      </w:pPr>
      <w:r>
        <w:rPr>
          <w:rFonts w:ascii="Calibri" w:cs="Calibri" w:eastAsia="Calibri" w:hAnsi="Calibri"/>
          <w:color w:val="1A222E"/>
          <w:sz w:val="19"/>
          <w:szCs w:val="19"/>
        </w:rPr>
        <w:t xml:space="preserve"/>
      </w:r>
    </w:p>
    <w:p>
      <w:pPr>
        <w:spacing w:after="75" w:line="250"/>
      </w:pPr>
      <w:r>
        <w:rPr>
          <w:rFonts w:ascii="Calibri" w:cs="Calibri" w:eastAsia="Calibri" w:hAnsi="Calibri"/>
          <w:b/>
          <w:bCs/>
          <w:color w:val="5A6675"/>
          <w:sz w:val="19"/>
          <w:szCs w:val="19"/>
        </w:rPr>
        <w:t xml:space="preserve">Reference: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full detail in Bizcom-Build-Review-07-Oct-2026.docx and the four build briefs. Questions: write to Kavita (TBL) with the screen and number you are stuck on.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2026-10-09T05:26:32.488Z</dcterms:created>
  <dcterms:modified xsi:type="dcterms:W3CDTF">2026-10-09T05:26:32.497Z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