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CA816" w14:textId="77777777" w:rsidR="00E878D8" w:rsidRDefault="00000000">
      <w:pPr>
        <w:spacing w:after="20"/>
      </w:pPr>
      <w:r>
        <w:rPr>
          <w:b/>
          <w:bCs/>
          <w:color w:val="1E8E5A"/>
          <w:sz w:val="15"/>
          <w:szCs w:val="15"/>
        </w:rPr>
        <w:t>THE BIZCOM ENGINE · FIX LIST, BY SECTION</w:t>
      </w:r>
    </w:p>
    <w:p w14:paraId="776939D1" w14:textId="77777777" w:rsidR="00E878D8" w:rsidRDefault="00000000">
      <w:pPr>
        <w:spacing w:after="60"/>
      </w:pPr>
      <w:r>
        <w:rPr>
          <w:b/>
          <w:bCs/>
          <w:color w:val="1A222E"/>
          <w:sz w:val="27"/>
          <w:szCs w:val="27"/>
        </w:rPr>
        <w:t>What to Fix Where — Simple Version, 7 October 2026</w:t>
      </w:r>
    </w:p>
    <w:p w14:paraId="1ADC015C" w14:textId="77777777" w:rsidR="00E878D8" w:rsidRDefault="00000000">
      <w:pPr>
        <w:spacing w:after="75" w:line="250" w:lineRule="auto"/>
      </w:pPr>
      <w:r>
        <w:rPr>
          <w:b/>
          <w:bCs/>
          <w:color w:val="1A222E"/>
        </w:rPr>
        <w:t xml:space="preserve">How to read this: </w:t>
      </w:r>
      <w:r>
        <w:rPr>
          <w:color w:val="1A222E"/>
        </w:rPr>
        <w:t>one table per section. Column 1 is what is on screen today, column 2 is what to do, column 3 is how we check it. Items marked ★ block any client demo — do these first. Nothing here requires you to analyse anything: where analysis is needed, TBL sends you a ready file to import.</w:t>
      </w:r>
    </w:p>
    <w:p w14:paraId="052CF89F" w14:textId="77777777" w:rsidR="00E878D8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MEDIA (Rivoli)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00"/>
        <w:gridCol w:w="2450"/>
      </w:tblGrid>
      <w:tr w:rsidR="00E878D8" w14:paraId="42F6AAC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4AA934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On screen today</w:t>
            </w:r>
          </w:p>
        </w:tc>
        <w:tc>
          <w:tcPr>
            <w:tcW w:w="40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04A07A2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What to do</w:t>
            </w:r>
          </w:p>
        </w:tc>
        <w:tc>
          <w:tcPr>
            <w:tcW w:w="245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313A03B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Done when</w:t>
            </w:r>
          </w:p>
        </w:tc>
      </w:tr>
      <w:tr w:rsidR="00E878D8" w14:paraId="26D7E7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C01BE94" w14:textId="77777777" w:rsidR="00E878D8" w:rsidRDefault="00000000">
            <w:r>
              <w:rPr>
                <w:color w:val="1A222E"/>
                <w:sz w:val="17"/>
                <w:szCs w:val="17"/>
              </w:rPr>
              <w:t>★ Score shows 100 with ROAS / CAC÷AOV / CTR against generic benchmarks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9F8EF09" w14:textId="77777777" w:rsidR="00E878D8" w:rsidRDefault="00000000">
            <w:r>
              <w:rPr>
                <w:color w:val="1A222E"/>
                <w:sz w:val="17"/>
                <w:szCs w:val="17"/>
              </w:rPr>
              <w:t>Remove this scoring completely. CAC÷AOV was dropped by agreement. Until TBL sends the signed scoring configuration, every score area shows the text “Unscored — baselines pending”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DF6F9BF" w14:textId="77777777" w:rsidR="00E878D8" w:rsidRDefault="00000000">
            <w:r>
              <w:rPr>
                <w:color w:val="1A222E"/>
                <w:sz w:val="17"/>
                <w:szCs w:val="17"/>
              </w:rPr>
              <w:t>No 0–100 number anywhere on the Media tab</w:t>
            </w:r>
          </w:p>
        </w:tc>
      </w:tr>
      <w:tr w:rsidR="00E878D8" w14:paraId="1CA80D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3CCC4E6" w14:textId="77777777" w:rsidR="00E878D8" w:rsidRDefault="00000000">
            <w:r>
              <w:rPr>
                <w:color w:val="1A222E"/>
                <w:sz w:val="17"/>
                <w:szCs w:val="17"/>
              </w:rPr>
              <w:t>★ Blended CTR 15.52%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AA88B1" w14:textId="77777777" w:rsidR="00E878D8" w:rsidRDefault="00000000">
            <w:r>
              <w:rPr>
                <w:color w:val="1A222E"/>
                <w:sz w:val="17"/>
                <w:szCs w:val="17"/>
              </w:rPr>
              <w:t>Recompute as clicks ÷ impressions from the raw rows. Expected result: around 1–2%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64ABFAD" w14:textId="77777777" w:rsidR="00E878D8" w:rsidRDefault="00000000">
            <w:r>
              <w:rPr>
                <w:color w:val="1A222E"/>
                <w:sz w:val="17"/>
                <w:szCs w:val="17"/>
              </w:rPr>
              <w:t>Blended CTR is below 3% and traceable to raw clicks and impressions</w:t>
            </w:r>
          </w:p>
        </w:tc>
      </w:tr>
      <w:tr w:rsidR="00E878D8" w14:paraId="72E905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15877E" w14:textId="77777777" w:rsidR="00E878D8" w:rsidRDefault="00000000">
            <w:r>
              <w:rPr>
                <w:color w:val="1A222E"/>
                <w:sz w:val="17"/>
                <w:szCs w:val="17"/>
              </w:rPr>
              <w:t>“Blended ROAS 9.39x” (site revenue ÷ spend)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2FBDD64" w14:textId="77777777" w:rsidR="00E878D8" w:rsidRDefault="00000000">
            <w:r>
              <w:rPr>
                <w:color w:val="1A222E"/>
                <w:sz w:val="17"/>
                <w:szCs w:val="17"/>
              </w:rPr>
              <w:t>Rename the card “Revenue coverage”. ROAS is only platform-reported revenue ÷ spend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691F79" w14:textId="77777777" w:rsidR="00E878D8" w:rsidRDefault="00000000">
            <w:r>
              <w:rPr>
                <w:color w:val="1A222E"/>
                <w:sz w:val="17"/>
                <w:szCs w:val="17"/>
              </w:rPr>
              <w:t>Card title says Revenue coverage; no card calls site revenue ROAS</w:t>
            </w:r>
          </w:p>
        </w:tc>
      </w:tr>
      <w:tr w:rsidR="00E878D8" w14:paraId="62ADB9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8F6C32" w14:textId="77777777" w:rsidR="00E878D8" w:rsidRDefault="00000000">
            <w:r>
              <w:rPr>
                <w:color w:val="1A222E"/>
                <w:sz w:val="17"/>
                <w:szCs w:val="17"/>
              </w:rPr>
              <w:t>Campaign rows: identical CTR and ROAS repeated (e.g. all Hamilton rows 1.18% / 8.69x)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36B053" w14:textId="77777777" w:rsidR="00E878D8" w:rsidRDefault="00000000">
            <w:r>
              <w:rPr>
                <w:color w:val="1A222E"/>
                <w:sz w:val="17"/>
                <w:szCs w:val="17"/>
              </w:rPr>
              <w:t>Fix the data join: each campaign shows its own numbers, not a shared value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2174B39" w14:textId="77777777" w:rsidR="00E878D8" w:rsidRDefault="00000000">
            <w:r>
              <w:rPr>
                <w:color w:val="1A222E"/>
                <w:sz w:val="17"/>
                <w:szCs w:val="17"/>
              </w:rPr>
              <w:t>No two campaigns share identical CTR and ROAS</w:t>
            </w:r>
          </w:p>
        </w:tc>
      </w:tr>
      <w:tr w:rsidR="00E878D8" w14:paraId="5FF749A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DA6BE28" w14:textId="77777777" w:rsidR="00E878D8" w:rsidRDefault="00000000">
            <w:r>
              <w:rPr>
                <w:color w:val="1A222E"/>
                <w:sz w:val="17"/>
                <w:szCs w:val="17"/>
              </w:rPr>
              <w:t>May '25 and Dec '23 campaigns inside the August 2026 view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D9DC33" w14:textId="77777777" w:rsidR="00E878D8" w:rsidRDefault="00000000">
            <w:r>
              <w:rPr>
                <w:color w:val="1A222E"/>
                <w:sz w:val="17"/>
                <w:szCs w:val="17"/>
              </w:rPr>
              <w:t>Fix the month filter: only campaigns active in the selected month appear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0E157F0" w14:textId="77777777" w:rsidR="00E878D8" w:rsidRDefault="00000000">
            <w:r>
              <w:rPr>
                <w:color w:val="1A222E"/>
                <w:sz w:val="17"/>
                <w:szCs w:val="17"/>
              </w:rPr>
              <w:t>August view shows August campaigns only</w:t>
            </w:r>
          </w:p>
        </w:tc>
      </w:tr>
      <w:tr w:rsidR="00E878D8" w14:paraId="37DD74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D0B594" w14:textId="77777777" w:rsidR="00E878D8" w:rsidRDefault="00000000">
            <w:r>
              <w:rPr>
                <w:color w:val="1A222E"/>
                <w:sz w:val="17"/>
                <w:szCs w:val="17"/>
              </w:rPr>
              <w:t>Meta spend AED 29,396 for August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DD2B905" w14:textId="77777777" w:rsidR="00E878D8" w:rsidRDefault="00000000">
            <w:r>
              <w:rPr>
                <w:color w:val="1A222E"/>
                <w:sz w:val="17"/>
                <w:szCs w:val="17"/>
              </w:rPr>
              <w:t>Load BOTH Meta ad accounts (Rivoli Group AND Hour Choice) from the combined file TBL sent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810CEE1" w14:textId="77777777" w:rsidR="00E878D8" w:rsidRDefault="00000000">
            <w:r>
              <w:rPr>
                <w:color w:val="1A222E"/>
                <w:sz w:val="17"/>
                <w:szCs w:val="17"/>
              </w:rPr>
              <w:t>August Meta spend matches the combined file to the dirham</w:t>
            </w:r>
          </w:p>
        </w:tc>
      </w:tr>
      <w:tr w:rsidR="00E878D8" w14:paraId="575DBF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C41487" w14:textId="77777777" w:rsidR="00E878D8" w:rsidRDefault="00000000">
            <w:r>
              <w:rPr>
                <w:color w:val="1A222E"/>
                <w:sz w:val="17"/>
                <w:szCs w:val="17"/>
              </w:rPr>
              <w:t>Google ROAS 7.76x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E54555D" w14:textId="77777777" w:rsidR="00E878D8" w:rsidRDefault="00000000">
            <w:r>
              <w:rPr>
                <w:color w:val="1A222E"/>
                <w:sz w:val="17"/>
                <w:szCs w:val="17"/>
              </w:rPr>
              <w:t>Tell us which file the Google conversion value came from. If it is calculated from site revenue, remove it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45B8DDA" w14:textId="77777777" w:rsidR="00E878D8" w:rsidRDefault="00000000">
            <w:r>
              <w:rPr>
                <w:color w:val="1A222E"/>
                <w:sz w:val="17"/>
                <w:szCs w:val="17"/>
              </w:rPr>
              <w:t>The source export is named in the data register</w:t>
            </w:r>
          </w:p>
        </w:tc>
      </w:tr>
      <w:tr w:rsidR="00E878D8" w14:paraId="46E20F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86CE7C" w14:textId="77777777" w:rsidR="00E878D8" w:rsidRDefault="00000000">
            <w:r>
              <w:rPr>
                <w:color w:val="1A222E"/>
                <w:sz w:val="17"/>
                <w:szCs w:val="17"/>
              </w:rPr>
              <w:t>Competition block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8AC42DD" w14:textId="77777777" w:rsidR="00E878D8" w:rsidRDefault="00000000">
            <w:r>
              <w:rPr>
                <w:color w:val="1A222E"/>
                <w:sz w:val="17"/>
                <w:szCs w:val="17"/>
              </w:rPr>
              <w:t>NO CHANGES — this is built correctly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38DEDA2" w14:textId="77777777" w:rsidR="00E878D8" w:rsidRDefault="00000000">
            <w:r>
              <w:rPr>
                <w:color w:val="1A222E"/>
                <w:sz w:val="17"/>
                <w:szCs w:val="17"/>
              </w:rPr>
              <w:t>—</w:t>
            </w:r>
          </w:p>
        </w:tc>
      </w:tr>
    </w:tbl>
    <w:p w14:paraId="6968768F" w14:textId="77777777" w:rsidR="00E878D8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CREATIVE (Union Coop)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00"/>
        <w:gridCol w:w="2450"/>
      </w:tblGrid>
      <w:tr w:rsidR="00E878D8" w14:paraId="5B2CA41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992A0F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On screen today</w:t>
            </w:r>
          </w:p>
        </w:tc>
        <w:tc>
          <w:tcPr>
            <w:tcW w:w="400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9EF60AE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What to do</w:t>
            </w:r>
          </w:p>
        </w:tc>
        <w:tc>
          <w:tcPr>
            <w:tcW w:w="2450" w:type="dxa"/>
            <w:shd w:val="clear" w:color="auto" w:fill="EEF3F0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F5CEE3E" w14:textId="77777777" w:rsidR="00E878D8" w:rsidRDefault="00000000">
            <w:r>
              <w:rPr>
                <w:b/>
                <w:bCs/>
                <w:color w:val="1A222E"/>
                <w:sz w:val="17"/>
                <w:szCs w:val="17"/>
              </w:rPr>
              <w:t>Done when</w:t>
            </w:r>
          </w:p>
        </w:tc>
      </w:tr>
      <w:tr w:rsidR="00E878D8" w14:paraId="14F36D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AA062B8" w14:textId="77777777" w:rsidR="00E878D8" w:rsidRDefault="00000000">
            <w:r>
              <w:rPr>
                <w:color w:val="1A222E"/>
                <w:sz w:val="17"/>
                <w:szCs w:val="17"/>
              </w:rPr>
              <w:t>★ Organic Creative Score 41/100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F80E8D" w14:textId="77777777" w:rsidR="00E878D8" w:rsidRDefault="00000000">
            <w:r>
              <w:rPr>
                <w:color w:val="1A222E"/>
                <w:sz w:val="17"/>
                <w:szCs w:val="17"/>
              </w:rPr>
              <w:t>Remove the single number. Keep every card and the “provisional” label. The score returns only when Tonnit and TBL sign the model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8530BAB" w14:textId="77777777" w:rsidR="00E878D8" w:rsidRDefault="00000000">
            <w:r>
              <w:rPr>
                <w:color w:val="1A222E"/>
                <w:sz w:val="17"/>
                <w:szCs w:val="17"/>
              </w:rPr>
              <w:t>No composite score on the Creative tab</w:t>
            </w:r>
          </w:p>
        </w:tc>
      </w:tr>
      <w:tr w:rsidR="00E878D8" w14:paraId="7EE7AF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C7FA4F" w14:textId="77777777" w:rsidR="00E878D8" w:rsidRDefault="00000000">
            <w:r>
              <w:rPr>
                <w:color w:val="1A222E"/>
                <w:sz w:val="17"/>
                <w:szCs w:val="17"/>
              </w:rPr>
              <w:t>Average-based summary numbers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DA8250" w14:textId="77777777" w:rsidR="00E878D8" w:rsidRDefault="00000000">
            <w:r>
              <w:rPr>
                <w:color w:val="1A222E"/>
                <w:sz w:val="17"/>
                <w:szCs w:val="17"/>
              </w:rPr>
              <w:t>Show MEDIAN as “Typical post” next to the top post. Both numbers come pre-computed in the import file — sheet “Monthly Benchmarks”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C61A31" w14:textId="77777777" w:rsidR="00E878D8" w:rsidRDefault="00000000">
            <w:r>
              <w:rPr>
                <w:color w:val="1A222E"/>
                <w:sz w:val="17"/>
                <w:szCs w:val="17"/>
              </w:rPr>
              <w:t>Typical (median) and Best shown side by side</w:t>
            </w:r>
          </w:p>
        </w:tc>
      </w:tr>
      <w:tr w:rsidR="00E878D8" w14:paraId="20F411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46A7B1" w14:textId="77777777" w:rsidR="00E878D8" w:rsidRDefault="00000000">
            <w:r>
              <w:rPr>
                <w:color w:val="1A222E"/>
                <w:sz w:val="17"/>
                <w:szCs w:val="17"/>
              </w:rPr>
              <w:t>Posts ranked with no floor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69BE154" w14:textId="77777777" w:rsidR="00E878D8" w:rsidRDefault="00000000">
            <w:r>
              <w:rPr>
                <w:color w:val="1A222E"/>
                <w:sz w:val="17"/>
                <w:szCs w:val="17"/>
              </w:rPr>
              <w:t>Rank only posts marked “Eligible for ranking” in the import file (reach ≥ 500); say so on the card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5203DE9" w14:textId="77777777" w:rsidR="00E878D8" w:rsidRDefault="00000000">
            <w:r>
              <w:rPr>
                <w:color w:val="1A222E"/>
                <w:sz w:val="17"/>
                <w:szCs w:val="17"/>
              </w:rPr>
              <w:t>Floor stated on the ranking card</w:t>
            </w:r>
          </w:p>
        </w:tc>
      </w:tr>
      <w:tr w:rsidR="00E878D8" w14:paraId="0C9688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42C229" w14:textId="77777777" w:rsidR="00E878D8" w:rsidRDefault="00000000">
            <w:r>
              <w:rPr>
                <w:color w:val="1A222E"/>
                <w:sz w:val="17"/>
                <w:szCs w:val="17"/>
              </w:rPr>
              <w:t>No explanation of top posts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21F7330" w14:textId="77777777" w:rsidR="00E878D8" w:rsidRDefault="00000000">
            <w:r>
              <w:rPr>
                <w:color w:val="1A222E"/>
                <w:sz w:val="17"/>
                <w:szCs w:val="17"/>
              </w:rPr>
              <w:t>Add the “Why it worked” strip: display sheet “Why It Worked - Monthly Top 3” from the import file as-is — format, language, day, time slot, giveaway flag per post. No computation needed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92DF8A" w14:textId="77777777" w:rsidR="00E878D8" w:rsidRDefault="00000000">
            <w:r>
              <w:rPr>
                <w:color w:val="1A222E"/>
                <w:sz w:val="17"/>
                <w:szCs w:val="17"/>
              </w:rPr>
              <w:t>Top 3 per month shown with their factors</w:t>
            </w:r>
          </w:p>
        </w:tc>
      </w:tr>
      <w:tr w:rsidR="00E878D8" w14:paraId="58AB07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024845" w14:textId="77777777" w:rsidR="00E878D8" w:rsidRDefault="00000000">
            <w:r>
              <w:rPr>
                <w:color w:val="1A222E"/>
                <w:sz w:val="17"/>
                <w:szCs w:val="17"/>
              </w:rPr>
              <w:t>Giveaway posts mixed in with content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09B42E1" w14:textId="77777777" w:rsidR="00E878D8" w:rsidRDefault="00000000">
            <w:r>
              <w:rPr>
                <w:color w:val="1A222E"/>
                <w:sz w:val="17"/>
                <w:szCs w:val="17"/>
              </w:rPr>
              <w:t>Show the Giveaway flag from the import file next to flagged posts. (In August, 7 giveaway posts carried 50% of all actions — the flag is what makes the numbers honest)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6173F9" w14:textId="77777777" w:rsidR="00E878D8" w:rsidRDefault="00000000">
            <w:r>
              <w:rPr>
                <w:color w:val="1A222E"/>
                <w:sz w:val="17"/>
                <w:szCs w:val="17"/>
              </w:rPr>
              <w:t>Flag visible on flagged posts</w:t>
            </w:r>
          </w:p>
        </w:tc>
      </w:tr>
      <w:tr w:rsidR="00E878D8" w14:paraId="4D3AD9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43F1C98" w14:textId="77777777" w:rsidR="00E878D8" w:rsidRDefault="00000000">
            <w:r>
              <w:rPr>
                <w:color w:val="1A222E"/>
                <w:sz w:val="17"/>
                <w:szCs w:val="17"/>
              </w:rPr>
              <w:t>Single-month view only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438C57D" w14:textId="77777777" w:rsidR="00E878D8" w:rsidRDefault="00000000">
            <w:r>
              <w:rPr>
                <w:color w:val="1A222E"/>
                <w:sz w:val="17"/>
                <w:szCs w:val="17"/>
              </w:rPr>
              <w:t>Add the month-by-month trend of median active engagement and frequency, from sheet “Monthly Benchmarks”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0FD372F" w14:textId="77777777" w:rsidR="00E878D8" w:rsidRDefault="00000000">
            <w:r>
              <w:rPr>
                <w:color w:val="1A222E"/>
                <w:sz w:val="17"/>
                <w:szCs w:val="17"/>
              </w:rPr>
              <w:t>Trend line renders from the import file</w:t>
            </w:r>
          </w:p>
        </w:tc>
      </w:tr>
      <w:tr w:rsidR="00E878D8" w14:paraId="2037467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5C13048" w14:textId="77777777" w:rsidR="00E878D8" w:rsidRDefault="00000000">
            <w:r>
              <w:rPr>
                <w:color w:val="1A222E"/>
                <w:sz w:val="17"/>
                <w:szCs w:val="17"/>
              </w:rPr>
              <w:t>Honesty labels (organic+boosted, N/A handling, 3/36 watch time)</w:t>
            </w:r>
          </w:p>
        </w:tc>
        <w:tc>
          <w:tcPr>
            <w:tcW w:w="400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663291" w14:textId="77777777" w:rsidR="00E878D8" w:rsidRDefault="00000000">
            <w:r>
              <w:rPr>
                <w:color w:val="1A222E"/>
                <w:sz w:val="17"/>
                <w:szCs w:val="17"/>
              </w:rPr>
              <w:t>NO CHANGES — correct as built</w:t>
            </w:r>
          </w:p>
        </w:tc>
        <w:tc>
          <w:tcPr>
            <w:tcW w:w="2450" w:type="dxa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AEBA8B" w14:textId="77777777" w:rsidR="00E878D8" w:rsidRDefault="00000000">
            <w:r>
              <w:rPr>
                <w:color w:val="1A222E"/>
                <w:sz w:val="17"/>
                <w:szCs w:val="17"/>
              </w:rPr>
              <w:t>—</w:t>
            </w:r>
          </w:p>
        </w:tc>
      </w:tr>
    </w:tbl>
    <w:p w14:paraId="0397AA50" w14:textId="77777777" w:rsidR="00E878D8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THE IMPORT FILE</w:t>
      </w:r>
    </w:p>
    <w:p w14:paraId="6C6D796E" w14:textId="77777777" w:rsidR="00E878D8" w:rsidRDefault="00000000">
      <w:pPr>
        <w:spacing w:after="75" w:line="250" w:lineRule="auto"/>
      </w:pPr>
      <w:r>
        <w:rPr>
          <w:b/>
          <w:bCs/>
          <w:color w:val="1A222E"/>
        </w:rPr>
        <w:t xml:space="preserve">Attached: UnionCoop-Creative-WhyItWorked-Import.xlsx. </w:t>
      </w:r>
      <w:r>
        <w:rPr>
          <w:color w:val="1A222E"/>
        </w:rPr>
        <w:t>Everything the Creative fixes need is already computed inside it by TBL: one row per eligible post with language, day, time slot, giveaway flag, active engagement and frequency; the monthly Top 3 with factors; and the monthly benchmarks (median, mean, giveaway share). Your job is to import and display it — exactly like every other monthly source file. From next month this file arrives with the regular data drop.</w:t>
      </w:r>
    </w:p>
    <w:p w14:paraId="3ED85DE8" w14:textId="77777777" w:rsidR="00E878D8" w:rsidRDefault="00000000">
      <w:pPr>
        <w:pStyle w:val="Heading2"/>
        <w:spacing w:before="170" w:after="60"/>
      </w:pPr>
      <w:r>
        <w:rPr>
          <w:b/>
          <w:bCs/>
          <w:color w:val="1E8E5A"/>
          <w:sz w:val="22"/>
          <w:szCs w:val="22"/>
        </w:rPr>
        <w:t>STILL TO BUILD (not a fix — scheduled work)</w:t>
      </w:r>
    </w:p>
    <w:p w14:paraId="0D976B2B" w14:textId="77777777" w:rsidR="00E878D8" w:rsidRDefault="00000000">
      <w:pPr>
        <w:spacing w:after="75" w:line="250" w:lineRule="auto"/>
      </w:pPr>
      <w:r>
        <w:rPr>
          <w:color w:val="1A222E"/>
        </w:rPr>
        <w:lastRenderedPageBreak/>
        <w:t>The Consumer tab for Rivoli, per the Consumer Section build brief of 1 October and the two placement screenshots. Please confirm the build date.</w:t>
      </w:r>
    </w:p>
    <w:p w14:paraId="04F71AF4" w14:textId="77777777" w:rsidR="00E878D8" w:rsidRDefault="00E878D8">
      <w:pPr>
        <w:spacing w:after="75" w:line="250" w:lineRule="auto"/>
      </w:pPr>
    </w:p>
    <w:p w14:paraId="16D1BD50" w14:textId="77777777" w:rsidR="00E878D8" w:rsidRDefault="00000000">
      <w:pPr>
        <w:spacing w:after="75" w:line="250" w:lineRule="auto"/>
      </w:pPr>
      <w:r>
        <w:rPr>
          <w:b/>
          <w:bCs/>
          <w:color w:val="5A6675"/>
        </w:rPr>
        <w:t xml:space="preserve">Reference: </w:t>
      </w:r>
      <w:r>
        <w:rPr>
          <w:color w:val="5A6675"/>
        </w:rPr>
        <w:t>full detail in Bizcom-Build-Review-07-Oct-2026.docx. Questions: write to Kavita (TBL) with the screen and number you are stuck on.</w:t>
      </w:r>
    </w:p>
    <w:sectPr w:rsidR="00E878D8">
      <w:pgSz w:w="11906" w:h="16838"/>
      <w:pgMar w:top="850" w:right="1000" w:bottom="85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302F29"/>
    <w:multiLevelType w:val="hybridMultilevel"/>
    <w:tmpl w:val="079EAD14"/>
    <w:lvl w:ilvl="0" w:tplc="5986CBDC">
      <w:start w:val="1"/>
      <w:numFmt w:val="bullet"/>
      <w:lvlText w:val="●"/>
      <w:lvlJc w:val="left"/>
      <w:pPr>
        <w:ind w:left="720" w:hanging="360"/>
      </w:pPr>
    </w:lvl>
    <w:lvl w:ilvl="1" w:tplc="63A6340C">
      <w:start w:val="1"/>
      <w:numFmt w:val="bullet"/>
      <w:lvlText w:val="○"/>
      <w:lvlJc w:val="left"/>
      <w:pPr>
        <w:ind w:left="1440" w:hanging="360"/>
      </w:pPr>
    </w:lvl>
    <w:lvl w:ilvl="2" w:tplc="31B2D7DA">
      <w:start w:val="1"/>
      <w:numFmt w:val="bullet"/>
      <w:lvlText w:val="■"/>
      <w:lvlJc w:val="left"/>
      <w:pPr>
        <w:ind w:left="2160" w:hanging="360"/>
      </w:pPr>
    </w:lvl>
    <w:lvl w:ilvl="3" w:tplc="3F82EC14">
      <w:start w:val="1"/>
      <w:numFmt w:val="bullet"/>
      <w:lvlText w:val="●"/>
      <w:lvlJc w:val="left"/>
      <w:pPr>
        <w:ind w:left="2880" w:hanging="360"/>
      </w:pPr>
    </w:lvl>
    <w:lvl w:ilvl="4" w:tplc="49B2B434">
      <w:start w:val="1"/>
      <w:numFmt w:val="bullet"/>
      <w:lvlText w:val="○"/>
      <w:lvlJc w:val="left"/>
      <w:pPr>
        <w:ind w:left="3600" w:hanging="360"/>
      </w:pPr>
    </w:lvl>
    <w:lvl w:ilvl="5" w:tplc="BE6235A4">
      <w:start w:val="1"/>
      <w:numFmt w:val="bullet"/>
      <w:lvlText w:val="■"/>
      <w:lvlJc w:val="left"/>
      <w:pPr>
        <w:ind w:left="4320" w:hanging="360"/>
      </w:pPr>
    </w:lvl>
    <w:lvl w:ilvl="6" w:tplc="1CCC24F8">
      <w:start w:val="1"/>
      <w:numFmt w:val="bullet"/>
      <w:lvlText w:val="●"/>
      <w:lvlJc w:val="left"/>
      <w:pPr>
        <w:ind w:left="5040" w:hanging="360"/>
      </w:pPr>
    </w:lvl>
    <w:lvl w:ilvl="7" w:tplc="B22A8DB4">
      <w:start w:val="1"/>
      <w:numFmt w:val="bullet"/>
      <w:lvlText w:val="●"/>
      <w:lvlJc w:val="left"/>
      <w:pPr>
        <w:ind w:left="5760" w:hanging="360"/>
      </w:pPr>
    </w:lvl>
    <w:lvl w:ilvl="8" w:tplc="D63E9050">
      <w:start w:val="1"/>
      <w:numFmt w:val="bullet"/>
      <w:lvlText w:val="●"/>
      <w:lvlJc w:val="left"/>
      <w:pPr>
        <w:ind w:left="6480" w:hanging="360"/>
      </w:pPr>
    </w:lvl>
  </w:abstractNum>
  <w:num w:numId="1" w16cid:durableId="835994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8D8"/>
    <w:rsid w:val="0016041C"/>
    <w:rsid w:val="00E878D8"/>
    <w:rsid w:val="00F3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44000"/>
  <w15:docId w15:val="{FA79D6CC-1AA7-D843-B3E3-9A693E9E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Kavita Ramrakhiani</cp:lastModifiedBy>
  <cp:revision>2</cp:revision>
  <dcterms:created xsi:type="dcterms:W3CDTF">2026-10-07T13:17:00Z</dcterms:created>
  <dcterms:modified xsi:type="dcterms:W3CDTF">2026-10-07T13:17:00Z</dcterms:modified>
</cp:coreProperties>
</file>