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E8E5A"/>
          <w:sz w:val="15"/>
          <w:szCs w:val="15"/>
        </w:rPr>
        <w:t xml:space="preserve">THE BIZCOM ENGINE · BUILD BRIEF TO THE TECH TEAM</w:t>
      </w:r>
    </w:p>
    <w:p>
      <w:pPr>
        <w:spacing w:after="60"/>
      </w:pPr>
      <w:r>
        <w:rPr>
          <w:rFonts w:ascii="Calibri" w:cs="Calibri" w:eastAsia="Calibri" w:hAnsi="Calibri"/>
          <w:b/>
          <w:bCs/>
          <w:color w:val="1A222E"/>
          <w:sz w:val="27"/>
          <w:szCs w:val="27"/>
        </w:rPr>
        <w:t xml:space="preserve">Competition Block — Meta Ad Library Data (Media Section)</w:t>
      </w:r>
    </w:p>
    <w:p>
      <w:pPr>
        <w:spacing w:after="75" w:line="250"/>
      </w:pPr>
      <w:r>
        <w:rPr>
          <w:rFonts w:ascii="Calibri" w:cs="Calibri" w:eastAsia="Calibri" w:hAnsi="Calibri"/>
          <w:b/>
          <w:bCs/>
          <w:color w:val="1A222E"/>
          <w:sz w:val="19"/>
          <w:szCs w:val="19"/>
        </w:rPr>
        <w:t xml:space="preserve">Client: </w:t>
      </w:r>
      <w:r>
        <w:rPr>
          <w:rFonts w:ascii="Calibri" w:cs="Calibri" w:eastAsia="Calibri" w:hAnsi="Calibri"/>
          <w:color w:val="1A222E"/>
          <w:sz w:val="19"/>
          <w:szCs w:val="19"/>
        </w:rPr>
        <w:t xml:space="preserve">Rivoli Shop (Thirty31North). </w:t>
      </w:r>
      <w:r>
        <w:rPr>
          <w:rFonts w:ascii="Calibri" w:cs="Calibri" w:eastAsia="Calibri" w:hAnsi="Calibri"/>
          <w:b/>
          <w:bCs/>
          <w:color w:val="1A222E"/>
          <w:sz w:val="19"/>
          <w:szCs w:val="19"/>
        </w:rPr>
        <w:t xml:space="preserve">First competitor: </w:t>
      </w:r>
      <w:r>
        <w:rPr>
          <w:rFonts w:ascii="Calibri" w:cs="Calibri" w:eastAsia="Calibri" w:hAnsi="Calibri"/>
          <w:color w:val="1A222E"/>
          <w:sz w:val="19"/>
          <w:szCs w:val="19"/>
        </w:rPr>
        <w:t xml:space="preserve">EDIT by Ahmed Seddiqi — Meta page name “Byedit”, website byedit.com. </w:t>
      </w:r>
      <w:r>
        <w:rPr>
          <w:rFonts w:ascii="Calibri" w:cs="Calibri" w:eastAsia="Calibri" w:hAnsi="Calibri"/>
          <w:b/>
          <w:bCs/>
          <w:color w:val="1A222E"/>
          <w:sz w:val="19"/>
          <w:szCs w:val="19"/>
        </w:rPr>
        <w:t xml:space="preserve">How data arrives: </w:t>
      </w:r>
      <w:r>
        <w:rPr>
          <w:rFonts w:ascii="Calibri" w:cs="Calibri" w:eastAsia="Calibri" w:hAnsi="Calibri"/>
          <w:color w:val="1A222E"/>
          <w:sz w:val="19"/>
          <w:szCs w:val="19"/>
        </w:rPr>
        <w:t xml:space="preserve">one capture sheet plus ad screenshots, sent by TBL monthly. The first capture (1 October 2026, 37 ads) is attached as the filled example: Competition-Capture-EDIT-Byedit-01-Oct-2026.xlsx.</w:t>
      </w:r>
    </w:p>
    <w:p>
      <w:pPr>
        <w:spacing w:after="75" w:line="250"/>
      </w:pPr>
      <w:r>
        <w:rPr>
          <w:rFonts w:ascii="Calibri" w:cs="Calibri" w:eastAsia="Calibri" w:hAnsi="Calibri"/>
          <w:b/>
          <w:bCs/>
          <w:color w:val="1A222E"/>
          <w:sz w:val="19"/>
          <w:szCs w:val="19"/>
        </w:rPr>
        <w:t xml:space="preserve">Please read this slowly and follow it step by step. If the monthly sheet does not match these rules, do not guess — send it back to us with a note.</w:t>
      </w:r>
    </w:p>
    <w:p>
      <w:pPr>
        <w:pStyle w:val="Heading2"/>
        <w:spacing w:after="60" w:before="170"/>
      </w:pPr>
      <w:r>
        <w:rPr>
          <w:rFonts w:ascii="Calibri" w:cs="Calibri" w:eastAsia="Calibri" w:hAnsi="Calibri"/>
          <w:b/>
          <w:bCs/>
          <w:color w:val="1E8E5A"/>
          <w:sz w:val="22"/>
          <w:szCs w:val="22"/>
        </w:rPr>
        <w:t xml:space="preserve">STEP 1 — What this is</w:t>
      </w:r>
    </w:p>
    <w:p>
      <w:pPr>
        <w:spacing w:after="75" w:line="250"/>
      </w:pPr>
      <w:r>
        <w:rPr>
          <w:rFonts w:ascii="Calibri" w:cs="Calibri" w:eastAsia="Calibri" w:hAnsi="Calibri"/>
          <w:color w:val="1A222E"/>
          <w:sz w:val="19"/>
          <w:szCs w:val="19"/>
        </w:rPr>
        <w:t xml:space="preserve">A new block at the bottom of the Media section called “Market context: Competition”. It shows what Rivoli's direct competitor is running on Facebook and Instagram, in the same months as Rivoli's own campaigns. The data comes from Meta Ad Library, the public page where Meta shows every ad currently running from any advertiser.</w:t>
      </w:r>
    </w:p>
    <w:p>
      <w:pPr>
        <w:pStyle w:val="ListParagraph"/>
        <w:numPr>
          <w:ilvl w:val="0"/>
          <w:numId w:val="2"/>
        </w:numPr>
        <w:spacing w:after="45" w:line="240"/>
      </w:pPr>
      <w:r>
        <w:rPr>
          <w:rFonts w:ascii="Calibri" w:cs="Calibri" w:eastAsia="Calibri" w:hAnsi="Calibri"/>
          <w:color w:val="1A222E"/>
          <w:sz w:val="19"/>
          <w:szCs w:val="19"/>
        </w:rPr>
        <w:t xml:space="preserve">The competitor list lives in the client configuration sheet, one row per competitor: competitor name, exact Meta page name (“Byedit”), website. No names inside code.</w:t>
      </w:r>
    </w:p>
    <w:p>
      <w:pPr>
        <w:pStyle w:val="ListParagraph"/>
        <w:numPr>
          <w:ilvl w:val="0"/>
          <w:numId w:val="2"/>
        </w:numPr>
        <w:spacing w:after="45" w:line="240"/>
      </w:pPr>
      <w:r>
        <w:rPr>
          <w:rFonts w:ascii="Calibri" w:cs="Calibri" w:eastAsia="Calibri" w:hAnsi="Calibri"/>
          <w:color w:val="1A222E"/>
          <w:sz w:val="19"/>
          <w:szCs w:val="19"/>
        </w:rPr>
        <w:t xml:space="preserve">Adding competitor number two later must be a configuration change only.</w:t>
      </w:r>
    </w:p>
    <w:p>
      <w:pPr>
        <w:pStyle w:val="ListParagraph"/>
        <w:numPr>
          <w:ilvl w:val="0"/>
          <w:numId w:val="2"/>
        </w:numPr>
        <w:spacing w:after="45" w:line="240"/>
      </w:pPr>
      <w:r>
        <w:rPr>
          <w:rFonts w:ascii="Calibri" w:cs="Calibri" w:eastAsia="Calibri" w:hAnsi="Calibri"/>
          <w:b/>
          <w:bCs/>
          <w:color w:val="1A222E"/>
          <w:sz w:val="19"/>
          <w:szCs w:val="19"/>
        </w:rPr>
        <w:t xml:space="preserve">This block is context only. It never enters the 0 to 100 media score. </w:t>
      </w:r>
      <w:r>
        <w:rPr>
          <w:rFonts w:ascii="Calibri" w:cs="Calibri" w:eastAsia="Calibri" w:hAnsi="Calibri"/>
          <w:color w:val="1A222E"/>
          <w:sz w:val="19"/>
          <w:szCs w:val="19"/>
        </w:rPr>
        <w:t xml:space="preserve">No scoring logic here, now or later, without a written change from us.</w:t>
      </w:r>
    </w:p>
    <w:p>
      <w:pPr>
        <w:pStyle w:val="Heading2"/>
        <w:spacing w:after="60" w:before="170"/>
      </w:pPr>
      <w:r>
        <w:rPr>
          <w:rFonts w:ascii="Calibri" w:cs="Calibri" w:eastAsia="Calibri" w:hAnsi="Calibri"/>
          <w:b/>
          <w:bCs/>
          <w:color w:val="1E8E5A"/>
          <w:sz w:val="22"/>
          <w:szCs w:val="22"/>
        </w:rPr>
        <w:t xml:space="preserve">STEP 2 — What the Meta Ad Library gives us, and what it does not</w:t>
      </w:r>
    </w:p>
    <w:p>
      <w:pPr>
        <w:spacing w:after="75" w:line="250"/>
      </w:pPr>
      <w:r>
        <w:rPr>
          <w:rFonts w:ascii="Calibri" w:cs="Calibri" w:eastAsia="Calibri" w:hAnsi="Calibri"/>
          <w:color w:val="1A222E"/>
          <w:sz w:val="19"/>
          <w:szCs w:val="19"/>
        </w:rPr>
        <w:t xml:space="preserve">For every ad we CAN see: the ad's Library ID, the page that ran it, its start date, whether it is still active, the platforms, the format, the number of versions, the creative itself (text and visual), and where the ad clicks to.</w:t>
      </w:r>
    </w:p>
    <w:p>
      <w:pPr>
        <w:spacing w:after="75" w:line="250"/>
      </w:pPr>
      <w:r>
        <w:rPr>
          <w:rFonts w:ascii="Calibri" w:cs="Calibri" w:eastAsia="Calibri" w:hAnsi="Calibri"/>
          <w:b/>
          <w:bCs/>
          <w:color w:val="1A222E"/>
          <w:sz w:val="19"/>
          <w:szCs w:val="19"/>
        </w:rPr>
        <w:t xml:space="preserve">We CANNOT see: spend, impressions, reach, or targeting. </w:t>
      </w:r>
      <w:r>
        <w:rPr>
          <w:rFonts w:ascii="Calibri" w:cs="Calibri" w:eastAsia="Calibri" w:hAnsi="Calibri"/>
          <w:color w:val="1A222E"/>
          <w:sz w:val="19"/>
          <w:szCs w:val="19"/>
        </w:rPr>
        <w:t xml:space="preserve">Meta does not publish these for commercial ads in the UAE. Hard rule: the dashboard never shows a spend or reach number for a competitor, and never estimates one. Every card and every creative in this block carries the label: “Source: Meta Ad Library. Activity, not spend.” (Some ads show ‘Impressions: &lt;100’ in the library; record it if present, display it nowhere.)</w:t>
      </w:r>
    </w:p>
    <w:p>
      <w:pPr>
        <w:pStyle w:val="Heading2"/>
        <w:spacing w:after="60" w:before="170"/>
      </w:pPr>
      <w:r>
        <w:rPr>
          <w:rFonts w:ascii="Calibri" w:cs="Calibri" w:eastAsia="Calibri" w:hAnsi="Calibri"/>
          <w:b/>
          <w:bCs/>
          <w:color w:val="1E8E5A"/>
          <w:sz w:val="22"/>
          <w:szCs w:val="22"/>
        </w:rPr>
        <w:t xml:space="preserve">STEP 3 — How the data arrives each month</w:t>
      </w:r>
    </w:p>
    <w:p>
      <w:pPr>
        <w:spacing w:after="75" w:line="250"/>
      </w:pPr>
      <w:r>
        <w:rPr>
          <w:rFonts w:ascii="Calibri" w:cs="Calibri" w:eastAsia="Calibri" w:hAnsi="Calibri"/>
          <w:color w:val="1A222E"/>
          <w:sz w:val="19"/>
          <w:szCs w:val="19"/>
        </w:rPr>
        <w:t xml:space="preserve">One Excel sheet plus a folder of screenshots. The sheet has one row per ad with these columns (exactly as in the attached capture #1):</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600"/>
        <w:gridCol w:w="6550"/>
      </w:tblGrid>
      <w:tr>
        <w:tc>
          <w:tcPr>
            <w:tcW w:type="dxa" w:w="2600"/>
            <w:shd w:fill="EEF3F0" w:val="clear"/>
            <w:tcMar>
              <w:top w:type="dxa" w:w="45"/>
              <w:left w:type="dxa" w:w="90"/>
              <w:bottom w:type="dxa" w:w="45"/>
              <w:right w:type="dxa" w:w="90"/>
            </w:tcMar>
          </w:tcPr>
          <w:p>
            <w:r>
              <w:rPr>
                <w:rFonts w:ascii="Calibri" w:cs="Calibri" w:eastAsia="Calibri" w:hAnsi="Calibri"/>
                <w:b/>
                <w:bCs/>
                <w:color w:val="1A222E"/>
                <w:sz w:val="17"/>
                <w:szCs w:val="17"/>
              </w:rPr>
              <w:t xml:space="preserve">Column</w:t>
            </w:r>
          </w:p>
        </w:tc>
        <w:tc>
          <w:tcPr>
            <w:tcW w:type="dxa" w:w="6550"/>
            <w:shd w:fill="EEF3F0" w:val="clear"/>
            <w:tcMar>
              <w:top w:type="dxa" w:w="45"/>
              <w:left w:type="dxa" w:w="90"/>
              <w:bottom w:type="dxa" w:w="45"/>
              <w:right w:type="dxa" w:w="90"/>
            </w:tcMar>
          </w:tcPr>
          <w:p>
            <w:r>
              <w:rPr>
                <w:rFonts w:ascii="Calibri" w:cs="Calibri" w:eastAsia="Calibri" w:hAnsi="Calibri"/>
                <w:b/>
                <w:bCs/>
                <w:color w:val="1A222E"/>
                <w:sz w:val="17"/>
                <w:szCs w:val="17"/>
              </w:rPr>
              <w:t xml:space="preserve">Rule</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Capture date</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The day TBL took the capture</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Competitor / Meta page</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From the configuration sheet</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Library ID</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THE JOIN KEY. Same ID next month = same ad still running, not a new ad</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Start date / Days running</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Start date as Meta shows it; days = capture date minus start date</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Status</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Active / no longer seen</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Platforms</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As shown (FB, IG, Messenger, WhatsApp, Threads)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Format</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Image, catalog/carousel, video</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Theme</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Tagged by the TBL analyst. Never guessed by you</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Featured brand / product</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What the creative shows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Ad text (short) / Click destination</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As captured</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Language</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Arabic / English / Both</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Screenshot ref</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Which screenshot holds this ad's creative</w:t>
            </w:r>
          </w:p>
        </w:tc>
      </w:tr>
    </w:tbl>
    <w:p>
      <w:pPr>
        <w:pStyle w:val="Heading2"/>
        <w:spacing w:after="60" w:before="170"/>
      </w:pPr>
      <w:r>
        <w:rPr>
          <w:rFonts w:ascii="Calibri" w:cs="Calibri" w:eastAsia="Calibri" w:hAnsi="Calibri"/>
          <w:b/>
          <w:bCs/>
          <w:color w:val="1E8E5A"/>
          <w:sz w:val="22"/>
          <w:szCs w:val="22"/>
        </w:rPr>
        <w:t xml:space="preserve">STEP 4 — What to compute every month, per competitor</w:t>
      </w:r>
    </w:p>
    <w:p>
      <w:pPr>
        <w:pStyle w:val="ListParagraph"/>
        <w:numPr>
          <w:ilvl w:val="0"/>
          <w:numId w:val="3"/>
        </w:numPr>
        <w:spacing w:after="45" w:line="240"/>
      </w:pPr>
      <w:r>
        <w:rPr>
          <w:rFonts w:ascii="Calibri" w:cs="Calibri" w:eastAsia="Calibri" w:hAnsi="Calibri"/>
          <w:color w:val="1A222E"/>
          <w:sz w:val="19"/>
          <w:szCs w:val="19"/>
        </w:rPr>
        <w:t xml:space="preserve">Active ads this month (count).</w:t>
      </w:r>
    </w:p>
    <w:p>
      <w:pPr>
        <w:pStyle w:val="ListParagraph"/>
        <w:numPr>
          <w:ilvl w:val="0"/>
          <w:numId w:val="3"/>
        </w:numPr>
        <w:spacing w:after="45" w:line="240"/>
      </w:pPr>
      <w:r>
        <w:rPr>
          <w:rFonts w:ascii="Calibri" w:cs="Calibri" w:eastAsia="Calibri" w:hAnsi="Calibri"/>
          <w:color w:val="1A222E"/>
          <w:sz w:val="19"/>
          <w:szCs w:val="19"/>
        </w:rPr>
        <w:t xml:space="preserve">New ads launched (Library IDs not seen in any earlier month).</w:t>
      </w:r>
    </w:p>
    <w:p>
      <w:pPr>
        <w:pStyle w:val="ListParagraph"/>
        <w:numPr>
          <w:ilvl w:val="0"/>
          <w:numId w:val="3"/>
        </w:numPr>
        <w:spacing w:after="45" w:line="240"/>
      </w:pPr>
      <w:r>
        <w:rPr>
          <w:rFonts w:ascii="Calibri" w:cs="Calibri" w:eastAsia="Calibri" w:hAnsi="Calibri"/>
          <w:color w:val="1A222E"/>
          <w:sz w:val="19"/>
          <w:szCs w:val="19"/>
        </w:rPr>
        <w:t xml:space="preserve">Stopped ads (Library IDs present last month, missing this month).</w:t>
      </w:r>
    </w:p>
    <w:p>
      <w:pPr>
        <w:pStyle w:val="ListParagraph"/>
        <w:numPr>
          <w:ilvl w:val="0"/>
          <w:numId w:val="3"/>
        </w:numPr>
        <w:spacing w:after="45" w:line="240"/>
      </w:pPr>
      <w:r>
        <w:rPr>
          <w:rFonts w:ascii="Calibri" w:cs="Calibri" w:eastAsia="Calibri" w:hAnsi="Calibri"/>
          <w:color w:val="1A222E"/>
          <w:sz w:val="19"/>
          <w:szCs w:val="19"/>
        </w:rPr>
        <w:t xml:space="preserve">Average days running of active ads.</w:t>
      </w:r>
    </w:p>
    <w:p>
      <w:pPr>
        <w:pStyle w:val="ListParagraph"/>
        <w:numPr>
          <w:ilvl w:val="0"/>
          <w:numId w:val="3"/>
        </w:numPr>
        <w:spacing w:after="45" w:line="240"/>
      </w:pPr>
      <w:r>
        <w:rPr>
          <w:rFonts w:ascii="Calibri" w:cs="Calibri" w:eastAsia="Calibri" w:hAnsi="Calibri"/>
          <w:color w:val="1A222E"/>
          <w:sz w:val="19"/>
          <w:szCs w:val="19"/>
        </w:rPr>
        <w:t xml:space="preserve">Format mix, language mix, theme mix.</w:t>
      </w:r>
    </w:p>
    <w:p>
      <w:pPr>
        <w:pStyle w:val="ListParagraph"/>
        <w:numPr>
          <w:ilvl w:val="0"/>
          <w:numId w:val="3"/>
        </w:numPr>
        <w:spacing w:after="45" w:line="240"/>
      </w:pPr>
      <w:r>
        <w:rPr>
          <w:rFonts w:ascii="Calibri" w:cs="Calibri" w:eastAsia="Calibri" w:hAnsi="Calibri"/>
          <w:color w:val="1A222E"/>
          <w:sz w:val="19"/>
          <w:szCs w:val="19"/>
        </w:rPr>
        <w:t xml:space="preserve">Longest-running ads, top 3, with days running and the creative.</w:t>
      </w:r>
    </w:p>
    <w:p>
      <w:pPr>
        <w:pStyle w:val="Heading2"/>
        <w:spacing w:after="60" w:before="170"/>
      </w:pPr>
      <w:r>
        <w:rPr>
          <w:rFonts w:ascii="Calibri" w:cs="Calibri" w:eastAsia="Calibri" w:hAnsi="Calibri"/>
          <w:b/>
          <w:bCs/>
          <w:color w:val="1E8E5A"/>
          <w:sz w:val="22"/>
          <w:szCs w:val="22"/>
        </w:rPr>
        <w:t xml:space="preserve">STEP 5 — What the block shows</w:t>
      </w:r>
    </w:p>
    <w:p>
      <w:pPr>
        <w:pStyle w:val="ListParagraph"/>
        <w:numPr>
          <w:ilvl w:val="0"/>
          <w:numId w:val="4"/>
        </w:numPr>
        <w:spacing w:after="45" w:line="240"/>
      </w:pPr>
      <w:r>
        <w:rPr>
          <w:rFonts w:ascii="Calibri" w:cs="Calibri" w:eastAsia="Calibri" w:hAnsi="Calibri"/>
          <w:b/>
          <w:bCs/>
          <w:color w:val="1A222E"/>
          <w:sz w:val="19"/>
          <w:szCs w:val="19"/>
        </w:rPr>
        <w:t xml:space="preserve">Card 1: Competitor activity. </w:t>
      </w:r>
      <w:r>
        <w:rPr>
          <w:rFonts w:ascii="Calibri" w:cs="Calibri" w:eastAsia="Calibri" w:hAnsi="Calibri"/>
          <w:color w:val="1A222E"/>
          <w:sz w:val="19"/>
          <w:szCs w:val="19"/>
        </w:rPr>
        <w:t xml:space="preserve">Active ads count and trend, shown next to the count of Rivoli's own live campaigns in the same months.</w:t>
      </w:r>
    </w:p>
    <w:p>
      <w:pPr>
        <w:pStyle w:val="ListParagraph"/>
        <w:numPr>
          <w:ilvl w:val="0"/>
          <w:numId w:val="4"/>
        </w:numPr>
        <w:spacing w:after="45" w:line="240"/>
      </w:pPr>
      <w:r>
        <w:rPr>
          <w:rFonts w:ascii="Calibri" w:cs="Calibri" w:eastAsia="Calibri" w:hAnsi="Calibri"/>
          <w:b/>
          <w:bCs/>
          <w:color w:val="1A222E"/>
          <w:sz w:val="19"/>
          <w:szCs w:val="19"/>
        </w:rPr>
        <w:t xml:space="preserve">Card 2: New launches this month. </w:t>
      </w:r>
      <w:r>
        <w:rPr>
          <w:rFonts w:ascii="Calibri" w:cs="Calibri" w:eastAsia="Calibri" w:hAnsi="Calibri"/>
          <w:color w:val="1A222E"/>
          <w:sz w:val="19"/>
          <w:szCs w:val="19"/>
        </w:rPr>
        <w:t xml:space="preserve">With a note when a burst happens (capture #1: 19 of 37 ads launched on Sep 28-29 — a gifting push).</w:t>
      </w:r>
    </w:p>
    <w:p>
      <w:pPr>
        <w:pStyle w:val="ListParagraph"/>
        <w:numPr>
          <w:ilvl w:val="0"/>
          <w:numId w:val="4"/>
        </w:numPr>
        <w:spacing w:after="45" w:line="240"/>
      </w:pPr>
      <w:r>
        <w:rPr>
          <w:rFonts w:ascii="Calibri" w:cs="Calibri" w:eastAsia="Calibri" w:hAnsi="Calibri"/>
          <w:b/>
          <w:bCs/>
          <w:color w:val="1A222E"/>
          <w:sz w:val="19"/>
          <w:szCs w:val="19"/>
        </w:rPr>
        <w:t xml:space="preserve">Card 3: Their longest-running ads. </w:t>
      </w:r>
      <w:r>
        <w:rPr>
          <w:rFonts w:ascii="Calibri" w:cs="Calibri" w:eastAsia="Calibri" w:hAnsi="Calibri"/>
          <w:color w:val="1A222E"/>
          <w:sz w:val="19"/>
          <w:szCs w:val="19"/>
        </w:rPr>
        <w:t xml:space="preserve">Top 3 with creative thumbnail and days running. An ad that runs for months is an ad that is working; this is the closest thing to performance data the library allows.</w:t>
      </w:r>
    </w:p>
    <w:p>
      <w:pPr>
        <w:pStyle w:val="ListParagraph"/>
        <w:numPr>
          <w:ilvl w:val="0"/>
          <w:numId w:val="4"/>
        </w:numPr>
        <w:spacing w:after="45" w:line="240"/>
      </w:pPr>
      <w:r>
        <w:rPr>
          <w:rFonts w:ascii="Calibri" w:cs="Calibri" w:eastAsia="Calibri" w:hAnsi="Calibri"/>
          <w:b/>
          <w:bCs/>
          <w:color w:val="1A222E"/>
          <w:sz w:val="19"/>
          <w:szCs w:val="19"/>
        </w:rPr>
        <w:t xml:space="preserve">Card 4: Format and language mix next to Rivoli's. </w:t>
      </w:r>
      <w:r>
        <w:rPr>
          <w:rFonts w:ascii="Calibri" w:cs="Calibri" w:eastAsia="Calibri" w:hAnsi="Calibri"/>
          <w:color w:val="1A222E"/>
          <w:sz w:val="19"/>
          <w:szCs w:val="19"/>
        </w:rPr>
        <w:t xml:space="preserve">(Capture #1: all 37 EDIT ads are English only.)</w:t>
      </w:r>
    </w:p>
    <w:p>
      <w:pPr>
        <w:pStyle w:val="ListParagraph"/>
        <w:numPr>
          <w:ilvl w:val="0"/>
          <w:numId w:val="4"/>
        </w:numPr>
        <w:spacing w:after="45" w:line="240"/>
      </w:pPr>
      <w:r>
        <w:rPr>
          <w:rFonts w:ascii="Calibri" w:cs="Calibri" w:eastAsia="Calibri" w:hAnsi="Calibri"/>
          <w:b/>
          <w:bCs/>
          <w:color w:val="1A222E"/>
          <w:sz w:val="19"/>
          <w:szCs w:val="19"/>
        </w:rPr>
        <w:t xml:space="preserve">Creative gallery, behind a click. </w:t>
      </w:r>
      <w:r>
        <w:rPr>
          <w:rFonts w:ascii="Calibri" w:cs="Calibri" w:eastAsia="Calibri" w:hAnsi="Calibri"/>
          <w:color w:val="1A222E"/>
          <w:sz w:val="19"/>
          <w:szCs w:val="19"/>
        </w:rPr>
        <w:t xml:space="preserve">All active creatives for the month as thumbnails with Library ID, theme and days running. Never all on the main screen — the main block shows cards 1 to 4 only. Every thumbnail carries the source label from Step 2.</w:t>
      </w:r>
    </w:p>
    <w:p>
      <w:pPr>
        <w:pStyle w:val="Heading2"/>
        <w:spacing w:after="60" w:before="170"/>
      </w:pPr>
      <w:r>
        <w:rPr>
          <w:rFonts w:ascii="Calibri" w:cs="Calibri" w:eastAsia="Calibri" w:hAnsi="Calibri"/>
          <w:b/>
          <w:bCs/>
          <w:color w:val="1E8E5A"/>
          <w:sz w:val="22"/>
          <w:szCs w:val="22"/>
        </w:rPr>
        <w:t xml:space="preserve">STEP 6 — History rule</w:t>
      </w:r>
    </w:p>
    <w:p>
      <w:pPr>
        <w:spacing w:after="75" w:line="250"/>
      </w:pPr>
      <w:r>
        <w:rPr>
          <w:rFonts w:ascii="Calibri" w:cs="Calibri" w:eastAsia="Calibri" w:hAnsi="Calibri"/>
          <w:b/>
          <w:bCs/>
          <w:color w:val="1A222E"/>
          <w:sz w:val="19"/>
          <w:szCs w:val="19"/>
        </w:rPr>
        <w:t xml:space="preserve">Meta only shows ads that are running right now; stopped ads disappear from the library. </w:t>
      </w:r>
      <w:r>
        <w:rPr>
          <w:rFonts w:ascii="Calibri" w:cs="Calibri" w:eastAsia="Calibri" w:hAnsi="Calibri"/>
          <w:color w:val="1A222E"/>
          <w:sz w:val="19"/>
          <w:szCs w:val="19"/>
        </w:rPr>
        <w:t xml:space="preserve">So every monthly sheet and every screenshot is stored forever and never overwritten. The archive starts with this October capture. There is no backfill to January — do not attempt one. Ads in capture #1 with older start dates (May, July) are stored with those start dates as given.</w:t>
      </w:r>
    </w:p>
    <w:p>
      <w:pPr>
        <w:pStyle w:val="Heading2"/>
        <w:spacing w:after="60" w:before="170"/>
      </w:pPr>
      <w:r>
        <w:rPr>
          <w:rFonts w:ascii="Calibri" w:cs="Calibri" w:eastAsia="Calibri" w:hAnsi="Calibri"/>
          <w:b/>
          <w:bCs/>
          <w:color w:val="1E8E5A"/>
          <w:sz w:val="22"/>
          <w:szCs w:val="22"/>
        </w:rPr>
        <w:t xml:space="preserve">STEP 7 — Acceptance checklist</w:t>
      </w:r>
    </w:p>
    <w:p>
      <w:pPr>
        <w:pStyle w:val="ListParagraph"/>
        <w:numPr>
          <w:ilvl w:val="0"/>
          <w:numId w:val="5"/>
        </w:numPr>
        <w:spacing w:after="45" w:line="240"/>
      </w:pPr>
      <w:r>
        <w:rPr>
          <w:rFonts w:ascii="Calibri" w:cs="Calibri" w:eastAsia="Calibri" w:hAnsi="Calibri"/>
          <w:color w:val="1A222E"/>
          <w:sz w:val="19"/>
          <w:szCs w:val="19"/>
        </w:rPr>
        <w:t xml:space="preserve">Loading the attached capture #1 reproduces: 37 active ads; 19 launched Sep 28-29; theme mix 15 catalog / 9 offer code / 7 product spotlight / 6 gifting; language 37 English, 0 Arabic; 3 ads running since 19 May.</w:t>
      </w:r>
    </w:p>
    <w:p>
      <w:pPr>
        <w:pStyle w:val="ListParagraph"/>
        <w:numPr>
          <w:ilvl w:val="0"/>
          <w:numId w:val="5"/>
        </w:numPr>
        <w:spacing w:after="45" w:line="240"/>
      </w:pPr>
      <w:r>
        <w:rPr>
          <w:rFonts w:ascii="Calibri" w:cs="Calibri" w:eastAsia="Calibri" w:hAnsi="Calibri"/>
          <w:color w:val="1A222E"/>
          <w:sz w:val="19"/>
          <w:szCs w:val="19"/>
        </w:rPr>
        <w:t xml:space="preserve">The Library ID joins across months; a repeated ID increases days running instead of counting as new.</w:t>
      </w:r>
    </w:p>
    <w:p>
      <w:pPr>
        <w:pStyle w:val="ListParagraph"/>
        <w:numPr>
          <w:ilvl w:val="0"/>
          <w:numId w:val="5"/>
        </w:numPr>
        <w:spacing w:after="45" w:line="240"/>
      </w:pPr>
      <w:r>
        <w:rPr>
          <w:rFonts w:ascii="Calibri" w:cs="Calibri" w:eastAsia="Calibri" w:hAnsi="Calibri"/>
          <w:color w:val="1A222E"/>
          <w:sz w:val="19"/>
          <w:szCs w:val="19"/>
        </w:rPr>
        <w:t xml:space="preserve">No spend, reach or impression number appears anywhere in the block; the source label appears on every card and every creative.</w:t>
      </w:r>
    </w:p>
    <w:p>
      <w:pPr>
        <w:pStyle w:val="ListParagraph"/>
        <w:numPr>
          <w:ilvl w:val="0"/>
          <w:numId w:val="5"/>
        </w:numPr>
        <w:spacing w:after="45" w:line="240"/>
      </w:pPr>
      <w:r>
        <w:rPr>
          <w:rFonts w:ascii="Calibri" w:cs="Calibri" w:eastAsia="Calibri" w:hAnsi="Calibri"/>
          <w:color w:val="1A222E"/>
          <w:sz w:val="19"/>
          <w:szCs w:val="19"/>
        </w:rPr>
        <w:t xml:space="preserve">The competitor is one row in the configuration sheet; adding a second competitor requires no code change.</w:t>
      </w:r>
    </w:p>
    <w:p>
      <w:pPr>
        <w:pStyle w:val="ListParagraph"/>
        <w:numPr>
          <w:ilvl w:val="0"/>
          <w:numId w:val="5"/>
        </w:numPr>
        <w:spacing w:after="45" w:line="240"/>
      </w:pPr>
      <w:r>
        <w:rPr>
          <w:rFonts w:ascii="Calibri" w:cs="Calibri" w:eastAsia="Calibri" w:hAnsi="Calibri"/>
          <w:color w:val="1A222E"/>
          <w:sz w:val="19"/>
          <w:szCs w:val="19"/>
        </w:rPr>
        <w:t xml:space="preserve">A month with no capture shows “data not received”, not zero.</w:t>
      </w:r>
    </w:p>
    <w:p>
      <w:pPr>
        <w:spacing w:after="75" w:line="250"/>
      </w:pPr>
      <w:r>
        <w:rPr>
          <w:rFonts w:ascii="Calibri" w:cs="Calibri" w:eastAsia="Calibri" w:hAnsi="Calibri"/>
          <w:color w:val="1A222E"/>
          <w:sz w:val="19"/>
          <w:szCs w:val="19"/>
        </w:rPr>
        <w:t xml:space="preserve"/>
      </w:r>
    </w:p>
    <w:p>
      <w:pPr>
        <w:spacing w:after="75" w:line="250"/>
      </w:pPr>
      <w:r>
        <w:rPr>
          <w:rFonts w:ascii="Calibri" w:cs="Calibri" w:eastAsia="Calibri" w:hAnsi="Calibri"/>
          <w:b/>
          <w:bCs/>
          <w:color w:val="5A6675"/>
          <w:sz w:val="19"/>
          <w:szCs w:val="19"/>
        </w:rPr>
        <w:t xml:space="preserve">Reference: </w:t>
      </w:r>
      <w:r>
        <w:rPr>
          <w:rFonts w:ascii="Calibri" w:cs="Calibri" w:eastAsia="Calibri" w:hAnsi="Calibri"/>
          <w:color w:val="5A6675"/>
          <w:sz w:val="19"/>
          <w:szCs w:val="19"/>
        </w:rPr>
        <w:t xml:space="preserve">this block follows the same engine rules as the Rivoli media, creative and consumer build briefs — one code, one client list, configuration not development, nothing estimated, every number traceable. Questions: write to Kavita (TBL) with the Library ID you are stuck on.</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90"/>
      </w:pPr>
    </w:lvl>
  </w:abstractNum>
  <w:abstractNum w:abstractNumId="3" w15:restartNumberingAfterBreak="0">
    <w:multiLevelType w:val="hybridMultilevel"/>
    <w:lvl w:ilvl="0" w15:tentative="1">
      <w:start w:val="1"/>
      <w:numFmt w:val="decimal"/>
      <w:lvlText w:val="%1."/>
      <w:lvlJc w:val="left"/>
      <w:pPr>
        <w:ind w:left="360" w:hanging="250"/>
      </w:pPr>
    </w:lvl>
  </w:abstractNum>
  <w:abstractNum w:abstractNumId="4" w15:restartNumberingAfterBreak="0">
    <w:multiLevelType w:val="hybridMultilevel"/>
    <w:lvl w:ilvl="0" w15:tentative="1">
      <w:start w:val="1"/>
      <w:numFmt w:val="decimal"/>
      <w:lvlText w:val="%1."/>
      <w:lvlJc w:val="left"/>
      <w:pPr>
        <w:ind w:left="360" w:hanging="250"/>
      </w:pPr>
    </w:lvl>
  </w:abstractNum>
  <w:abstractNum w:abstractNumId="5"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2026-10-01T09:24:46.968Z</dcterms:created>
  <dcterms:modified xsi:type="dcterms:W3CDTF">2026-10-01T09:24:46.977Z</dcterms:modified>
</cp:coreProperties>
</file>

<file path=docProps/custom.xml><?xml version="1.0" encoding="utf-8"?>
<Properties xmlns="http://schemas.openxmlformats.org/officeDocument/2006/custom-properties" xmlns:vt="http://schemas.openxmlformats.org/officeDocument/2006/docPropsVTypes"/>
</file>