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A45DC4" w14:textId="77777777" w:rsidR="005531D6" w:rsidRDefault="00000000">
      <w:pPr>
        <w:spacing w:after="30"/>
      </w:pPr>
      <w:r>
        <w:rPr>
          <w:b/>
          <w:bCs/>
          <w:color w:val="1E8E5A"/>
          <w:sz w:val="17"/>
          <w:szCs w:val="17"/>
        </w:rPr>
        <w:t>GP INC. · THE BEHAVIOR LAB (TBL)</w:t>
      </w:r>
    </w:p>
    <w:p w14:paraId="57AE0A35" w14:textId="77777777" w:rsidR="005531D6" w:rsidRDefault="00000000">
      <w:pPr>
        <w:pStyle w:val="Heading1"/>
        <w:spacing w:before="60" w:after="120"/>
      </w:pPr>
      <w:r>
        <w:rPr>
          <w:b/>
          <w:bCs/>
          <w:color w:val="1A222E"/>
        </w:rPr>
        <w:t>The Bizcom Engine — Build Brief and Commercial Terms</w:t>
      </w:r>
    </w:p>
    <w:p w14:paraId="18BB03EB" w14:textId="262EAF23" w:rsidR="005531D6" w:rsidRDefault="00000000" w:rsidP="009B71A3">
      <w:pPr>
        <w:pStyle w:val="Heading2"/>
        <w:spacing w:before="220" w:after="80"/>
      </w:pPr>
      <w:r>
        <w:rPr>
          <w:b/>
          <w:bCs/>
          <w:color w:val="1E8E5A"/>
          <w:sz w:val="24"/>
          <w:szCs w:val="24"/>
        </w:rPr>
        <w:t xml:space="preserve">1. What we are buying </w:t>
      </w:r>
    </w:p>
    <w:p w14:paraId="599219E6" w14:textId="77777777" w:rsidR="005531D6" w:rsidRDefault="00000000">
      <w:pPr>
        <w:spacing w:after="100" w:line="270" w:lineRule="auto"/>
      </w:pPr>
      <w:r>
        <w:rPr>
          <w:color w:val="1A222E"/>
        </w:rPr>
        <w:t>We already have a working proof-of-concept dashboard — design, tabs and scoring logic proven on sample data from a pitch. We are not buying more dashboards. We are buying the machine that produces that dashboard for any client, every month, automatically — with no developer involved when a new client is added. Think of it as the difference between one finished cake and the kitchen that makes cakes to order. You are building the kitchen. We supply the recipe.</w:t>
      </w:r>
    </w:p>
    <w:p w14:paraId="54F869FD" w14:textId="77777777" w:rsidR="005531D6" w:rsidRDefault="00000000">
      <w:pPr>
        <w:pStyle w:val="Heading2"/>
        <w:spacing w:before="220" w:after="80"/>
      </w:pPr>
      <w:r>
        <w:rPr>
          <w:b/>
          <w:bCs/>
          <w:color w:val="1E8E5A"/>
          <w:sz w:val="24"/>
          <w:szCs w:val="24"/>
        </w:rPr>
        <w:t>2. What already exists (you do not build these)</w:t>
      </w:r>
    </w:p>
    <w:p w14:paraId="5906FC28" w14:textId="77777777" w:rsidR="005531D6" w:rsidRDefault="00000000">
      <w:pPr>
        <w:pStyle w:val="ListParagraph"/>
        <w:numPr>
          <w:ilvl w:val="0"/>
          <w:numId w:val="2"/>
        </w:numPr>
        <w:spacing w:after="60" w:line="255" w:lineRule="auto"/>
      </w:pPr>
      <w:r>
        <w:rPr>
          <w:color w:val="1A222E"/>
        </w:rPr>
        <w:t>The dashboard itself: a working HTML proof-of-concept with seven tabs — Overview, Tech, UI/UX, SEO, Creative, Media, Business — and its full visual design, populated with sample data from a pitch (not a live client).</w:t>
      </w:r>
    </w:p>
    <w:p w14:paraId="7C045DEC" w14:textId="77777777" w:rsidR="005531D6" w:rsidRDefault="00000000">
      <w:pPr>
        <w:pStyle w:val="ListParagraph"/>
        <w:numPr>
          <w:ilvl w:val="0"/>
          <w:numId w:val="2"/>
        </w:numPr>
        <w:spacing w:after="60" w:line="255" w:lineRule="auto"/>
      </w:pPr>
      <w:r>
        <w:rPr>
          <w:color w:val="1A222E"/>
        </w:rPr>
        <w:t>All measurement logic: which numbers appear on each tab, what “good” looks like for each (benchmarks), how numbers combine into scores (weights and composite), and how missing data is treated (live / snapshot / demo states).</w:t>
      </w:r>
    </w:p>
    <w:p w14:paraId="4E942D4E" w14:textId="77777777" w:rsidR="005531D6" w:rsidRDefault="00000000">
      <w:pPr>
        <w:pStyle w:val="ListParagraph"/>
        <w:numPr>
          <w:ilvl w:val="0"/>
          <w:numId w:val="2"/>
        </w:numPr>
        <w:spacing w:after="60" w:line="255" w:lineRule="auto"/>
      </w:pPr>
      <w:r>
        <w:rPr>
          <w:color w:val="1A222E"/>
        </w:rPr>
        <w:t>A Windsor.ai account, owned and paid for by us, as the data pipe from client platforms (Meta, Google Ads, GA4, Search Console, Shopify and similar).</w:t>
      </w:r>
    </w:p>
    <w:p w14:paraId="259AEBDE" w14:textId="77777777" w:rsidR="005531D6" w:rsidRDefault="00000000">
      <w:pPr>
        <w:pStyle w:val="ListParagraph"/>
        <w:numPr>
          <w:ilvl w:val="0"/>
          <w:numId w:val="2"/>
        </w:numPr>
        <w:spacing w:after="60" w:line="255" w:lineRule="auto"/>
      </w:pPr>
      <w:r>
        <w:rPr>
          <w:color w:val="1A222E"/>
        </w:rPr>
        <w:t>Access to the data of one real client (Union Coop) and four pilot clients nominated by the GP Inc. companies (see Section 7) — no client is yet connected to the engine.</w:t>
      </w:r>
    </w:p>
    <w:p w14:paraId="43577805" w14:textId="77777777" w:rsidR="005531D6" w:rsidRDefault="00000000">
      <w:pPr>
        <w:pStyle w:val="Heading2"/>
        <w:spacing w:before="220" w:after="80"/>
      </w:pPr>
      <w:r>
        <w:rPr>
          <w:b/>
          <w:bCs/>
          <w:color w:val="1E8E5A"/>
          <w:sz w:val="24"/>
          <w:szCs w:val="24"/>
        </w:rPr>
        <w:t>3. What you build — the five layers</w:t>
      </w:r>
    </w:p>
    <w:p w14:paraId="0DA41F87" w14:textId="77777777" w:rsidR="005531D6" w:rsidRDefault="00000000">
      <w:pPr>
        <w:spacing w:after="100" w:line="270" w:lineRule="auto"/>
      </w:pPr>
      <w:r>
        <w:rPr>
          <w:color w:val="1A222E"/>
        </w:rPr>
        <w:t>The engine is five layers. Layers 1, 2, 3 and 5 are built once and shared by every client. Layer 4 is what changes per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960"/>
      </w:tblGrid>
      <w:tr w:rsidR="005531D6" w14:paraId="5852B96D" w14:textId="77777777">
        <w:tblPrEx>
          <w:tblCellMar>
            <w:top w:w="0" w:type="dxa"/>
            <w:bottom w:w="0" w:type="dxa"/>
          </w:tblCellMar>
        </w:tblPrEx>
        <w:tc>
          <w:tcPr>
            <w:tcW w:w="1900" w:type="dxa"/>
            <w:shd w:val="clear" w:color="auto" w:fill="EEF3F0"/>
            <w:tcMar>
              <w:top w:w="60" w:type="dxa"/>
              <w:left w:w="110" w:type="dxa"/>
              <w:bottom w:w="60" w:type="dxa"/>
              <w:right w:w="110" w:type="dxa"/>
            </w:tcMar>
          </w:tcPr>
          <w:p w14:paraId="6C5A2AFF" w14:textId="77777777" w:rsidR="005531D6" w:rsidRDefault="00000000">
            <w:r>
              <w:rPr>
                <w:b/>
                <w:bCs/>
                <w:color w:val="1A222E"/>
                <w:sz w:val="19"/>
                <w:szCs w:val="19"/>
              </w:rPr>
              <w:t>Layer</w:t>
            </w:r>
          </w:p>
        </w:tc>
        <w:tc>
          <w:tcPr>
            <w:tcW w:w="3500" w:type="dxa"/>
            <w:shd w:val="clear" w:color="auto" w:fill="EEF3F0"/>
            <w:tcMar>
              <w:top w:w="60" w:type="dxa"/>
              <w:left w:w="110" w:type="dxa"/>
              <w:bottom w:w="60" w:type="dxa"/>
              <w:right w:w="110" w:type="dxa"/>
            </w:tcMar>
          </w:tcPr>
          <w:p w14:paraId="5A30783D" w14:textId="77777777" w:rsidR="005531D6" w:rsidRDefault="00000000">
            <w:r>
              <w:rPr>
                <w:b/>
                <w:bCs/>
                <w:color w:val="1A222E"/>
                <w:sz w:val="19"/>
                <w:szCs w:val="19"/>
              </w:rPr>
              <w:t>What it does</w:t>
            </w:r>
          </w:p>
        </w:tc>
        <w:tc>
          <w:tcPr>
            <w:tcW w:w="3960" w:type="dxa"/>
            <w:shd w:val="clear" w:color="auto" w:fill="EEF3F0"/>
            <w:tcMar>
              <w:top w:w="60" w:type="dxa"/>
              <w:left w:w="110" w:type="dxa"/>
              <w:bottom w:w="60" w:type="dxa"/>
              <w:right w:w="110" w:type="dxa"/>
            </w:tcMar>
          </w:tcPr>
          <w:p w14:paraId="1081A2E4" w14:textId="77777777" w:rsidR="005531D6" w:rsidRDefault="00000000">
            <w:r>
              <w:rPr>
                <w:b/>
                <w:bCs/>
                <w:color w:val="1A222E"/>
                <w:sz w:val="19"/>
                <w:szCs w:val="19"/>
              </w:rPr>
              <w:t>What we expect from you</w:t>
            </w:r>
          </w:p>
        </w:tc>
      </w:tr>
      <w:tr w:rsidR="005531D6" w14:paraId="6830C6E9" w14:textId="77777777">
        <w:tblPrEx>
          <w:tblCellMar>
            <w:top w:w="0" w:type="dxa"/>
            <w:bottom w:w="0" w:type="dxa"/>
          </w:tblCellMar>
        </w:tblPrEx>
        <w:tc>
          <w:tcPr>
            <w:tcW w:w="1900" w:type="dxa"/>
            <w:tcMar>
              <w:top w:w="60" w:type="dxa"/>
              <w:left w:w="110" w:type="dxa"/>
              <w:bottom w:w="60" w:type="dxa"/>
              <w:right w:w="110" w:type="dxa"/>
            </w:tcMar>
          </w:tcPr>
          <w:p w14:paraId="78A07811" w14:textId="77777777" w:rsidR="005531D6" w:rsidRDefault="00000000">
            <w:r>
              <w:rPr>
                <w:color w:val="1A222E"/>
                <w:sz w:val="19"/>
                <w:szCs w:val="19"/>
              </w:rPr>
              <w:t>1. Collection</w:t>
            </w:r>
          </w:p>
        </w:tc>
        <w:tc>
          <w:tcPr>
            <w:tcW w:w="3500" w:type="dxa"/>
            <w:tcMar>
              <w:top w:w="60" w:type="dxa"/>
              <w:left w:w="110" w:type="dxa"/>
              <w:bottom w:w="60" w:type="dxa"/>
              <w:right w:w="110" w:type="dxa"/>
            </w:tcMar>
          </w:tcPr>
          <w:p w14:paraId="3F2B0C7A" w14:textId="77777777" w:rsidR="005531D6" w:rsidRDefault="00000000">
            <w:r>
              <w:rPr>
                <w:color w:val="1A222E"/>
                <w:sz w:val="19"/>
                <w:szCs w:val="19"/>
              </w:rPr>
              <w:t>Client data arrives automatically through Windsor.ai</w:t>
            </w:r>
          </w:p>
        </w:tc>
        <w:tc>
          <w:tcPr>
            <w:tcW w:w="3960" w:type="dxa"/>
            <w:tcMar>
              <w:top w:w="60" w:type="dxa"/>
              <w:left w:w="110" w:type="dxa"/>
              <w:bottom w:w="60" w:type="dxa"/>
              <w:right w:w="110" w:type="dxa"/>
            </w:tcMar>
          </w:tcPr>
          <w:p w14:paraId="718A782A" w14:textId="77777777" w:rsidR="005531D6" w:rsidRDefault="00000000">
            <w:r>
              <w:rPr>
                <w:color w:val="1A222E"/>
                <w:sz w:val="19"/>
                <w:szCs w:val="19"/>
              </w:rPr>
              <w:t>Connect Windsor to the engine so pulls run on a schedule. No manual pasting anywhere.</w:t>
            </w:r>
          </w:p>
        </w:tc>
      </w:tr>
      <w:tr w:rsidR="005531D6" w14:paraId="3821F472" w14:textId="77777777">
        <w:tblPrEx>
          <w:tblCellMar>
            <w:top w:w="0" w:type="dxa"/>
            <w:bottom w:w="0" w:type="dxa"/>
          </w:tblCellMar>
        </w:tblPrEx>
        <w:tc>
          <w:tcPr>
            <w:tcW w:w="1900" w:type="dxa"/>
            <w:tcMar>
              <w:top w:w="60" w:type="dxa"/>
              <w:left w:w="110" w:type="dxa"/>
              <w:bottom w:w="60" w:type="dxa"/>
              <w:right w:w="110" w:type="dxa"/>
            </w:tcMar>
          </w:tcPr>
          <w:p w14:paraId="324BC8D0" w14:textId="77777777" w:rsidR="005531D6" w:rsidRDefault="00000000">
            <w:r>
              <w:rPr>
                <w:color w:val="1A222E"/>
                <w:sz w:val="19"/>
                <w:szCs w:val="19"/>
              </w:rPr>
              <w:t>2. Storage</w:t>
            </w:r>
          </w:p>
        </w:tc>
        <w:tc>
          <w:tcPr>
            <w:tcW w:w="3500" w:type="dxa"/>
            <w:tcMar>
              <w:top w:w="60" w:type="dxa"/>
              <w:left w:w="110" w:type="dxa"/>
              <w:bottom w:w="60" w:type="dxa"/>
              <w:right w:w="110" w:type="dxa"/>
            </w:tcMar>
          </w:tcPr>
          <w:p w14:paraId="2063AA2F" w14:textId="77777777" w:rsidR="005531D6" w:rsidRDefault="00000000">
            <w:r>
              <w:rPr>
                <w:color w:val="1A222E"/>
                <w:sz w:val="19"/>
                <w:szCs w:val="19"/>
              </w:rPr>
              <w:t>A database that keeps every month's results</w:t>
            </w:r>
          </w:p>
        </w:tc>
        <w:tc>
          <w:tcPr>
            <w:tcW w:w="3960" w:type="dxa"/>
            <w:tcMar>
              <w:top w:w="60" w:type="dxa"/>
              <w:left w:w="110" w:type="dxa"/>
              <w:bottom w:w="60" w:type="dxa"/>
              <w:right w:w="110" w:type="dxa"/>
            </w:tcMar>
          </w:tcPr>
          <w:p w14:paraId="2A847FA7" w14:textId="77777777" w:rsidR="005531D6" w:rsidRDefault="00000000">
            <w:r>
              <w:rPr>
                <w:color w:val="1A222E"/>
                <w:sz w:val="19"/>
                <w:szCs w:val="19"/>
              </w:rPr>
              <w:t>Every run is stored, so in August we can see March. History is never overwritten.</w:t>
            </w:r>
          </w:p>
        </w:tc>
      </w:tr>
      <w:tr w:rsidR="005531D6" w14:paraId="507960A9" w14:textId="77777777">
        <w:tblPrEx>
          <w:tblCellMar>
            <w:top w:w="0" w:type="dxa"/>
            <w:bottom w:w="0" w:type="dxa"/>
          </w:tblCellMar>
        </w:tblPrEx>
        <w:tc>
          <w:tcPr>
            <w:tcW w:w="1900" w:type="dxa"/>
            <w:tcMar>
              <w:top w:w="60" w:type="dxa"/>
              <w:left w:w="110" w:type="dxa"/>
              <w:bottom w:w="60" w:type="dxa"/>
              <w:right w:w="110" w:type="dxa"/>
            </w:tcMar>
          </w:tcPr>
          <w:p w14:paraId="09AB9DE6" w14:textId="77777777" w:rsidR="005531D6" w:rsidRDefault="00000000">
            <w:r>
              <w:rPr>
                <w:color w:val="1A222E"/>
                <w:sz w:val="19"/>
                <w:szCs w:val="19"/>
              </w:rPr>
              <w:t>3. Scoring</w:t>
            </w:r>
          </w:p>
        </w:tc>
        <w:tc>
          <w:tcPr>
            <w:tcW w:w="3500" w:type="dxa"/>
            <w:tcMar>
              <w:top w:w="60" w:type="dxa"/>
              <w:left w:w="110" w:type="dxa"/>
              <w:bottom w:w="60" w:type="dxa"/>
              <w:right w:w="110" w:type="dxa"/>
            </w:tcMar>
          </w:tcPr>
          <w:p w14:paraId="17D523EC" w14:textId="77777777" w:rsidR="005531D6" w:rsidRDefault="00000000">
            <w:r>
              <w:rPr>
                <w:color w:val="1A222E"/>
                <w:sz w:val="19"/>
                <w:szCs w:val="19"/>
              </w:rPr>
              <w:t>The rules engine: benchmarks, weights, missing-data rules, composite score</w:t>
            </w:r>
          </w:p>
        </w:tc>
        <w:tc>
          <w:tcPr>
            <w:tcW w:w="3960" w:type="dxa"/>
            <w:tcMar>
              <w:top w:w="60" w:type="dxa"/>
              <w:left w:w="110" w:type="dxa"/>
              <w:bottom w:w="60" w:type="dxa"/>
              <w:right w:w="110" w:type="dxa"/>
            </w:tcMar>
          </w:tcPr>
          <w:p w14:paraId="66CFE462" w14:textId="77777777" w:rsidR="005531D6" w:rsidRDefault="00000000">
            <w:r>
              <w:rPr>
                <w:color w:val="1A222E"/>
                <w:sz w:val="19"/>
                <w:szCs w:val="19"/>
              </w:rPr>
              <w:t>Built once as configurable machinery. We supply the values per client; you must not hard-code any client's values into the dashboards.</w:t>
            </w:r>
          </w:p>
        </w:tc>
      </w:tr>
      <w:tr w:rsidR="005531D6" w14:paraId="43A63BD2" w14:textId="77777777">
        <w:tblPrEx>
          <w:tblCellMar>
            <w:top w:w="0" w:type="dxa"/>
            <w:bottom w:w="0" w:type="dxa"/>
          </w:tblCellMar>
        </w:tblPrEx>
        <w:tc>
          <w:tcPr>
            <w:tcW w:w="1900" w:type="dxa"/>
            <w:tcMar>
              <w:top w:w="60" w:type="dxa"/>
              <w:left w:w="110" w:type="dxa"/>
              <w:bottom w:w="60" w:type="dxa"/>
              <w:right w:w="110" w:type="dxa"/>
            </w:tcMar>
          </w:tcPr>
          <w:p w14:paraId="5B7E2429" w14:textId="77777777" w:rsidR="005531D6" w:rsidRDefault="00000000">
            <w:r>
              <w:rPr>
                <w:color w:val="1A222E"/>
                <w:sz w:val="19"/>
                <w:szCs w:val="19"/>
              </w:rPr>
              <w:t>4. Client configuration</w:t>
            </w:r>
          </w:p>
        </w:tc>
        <w:tc>
          <w:tcPr>
            <w:tcW w:w="3500" w:type="dxa"/>
            <w:tcMar>
              <w:top w:w="60" w:type="dxa"/>
              <w:left w:w="110" w:type="dxa"/>
              <w:bottom w:w="60" w:type="dxa"/>
              <w:right w:w="110" w:type="dxa"/>
            </w:tcMar>
          </w:tcPr>
          <w:p w14:paraId="113E20E6" w14:textId="77777777" w:rsidR="005531D6" w:rsidRDefault="00000000">
            <w:r>
              <w:rPr>
                <w:color w:val="1A222E"/>
                <w:sz w:val="19"/>
                <w:szCs w:val="19"/>
              </w:rPr>
              <w:t>The client list — one entry per client</w:t>
            </w:r>
          </w:p>
        </w:tc>
        <w:tc>
          <w:tcPr>
            <w:tcW w:w="3960" w:type="dxa"/>
            <w:tcMar>
              <w:top w:w="60" w:type="dxa"/>
              <w:left w:w="110" w:type="dxa"/>
              <w:bottom w:w="60" w:type="dxa"/>
              <w:right w:w="110" w:type="dxa"/>
            </w:tcMar>
          </w:tcPr>
          <w:p w14:paraId="1780CF87" w14:textId="77777777" w:rsidR="005531D6" w:rsidRDefault="00000000">
            <w:r>
              <w:rPr>
                <w:color w:val="1A222E"/>
                <w:sz w:val="19"/>
                <w:szCs w:val="19"/>
              </w:rPr>
              <w:t>A settings sheet per client: accounts to pull, which tabs apply, which benchmarks and weights, name and logo, refresh frequency. Adding a client = adding an entry.</w:t>
            </w:r>
          </w:p>
        </w:tc>
      </w:tr>
      <w:tr w:rsidR="005531D6" w14:paraId="341979CC" w14:textId="77777777">
        <w:tblPrEx>
          <w:tblCellMar>
            <w:top w:w="0" w:type="dxa"/>
            <w:bottom w:w="0" w:type="dxa"/>
          </w:tblCellMar>
        </w:tblPrEx>
        <w:tc>
          <w:tcPr>
            <w:tcW w:w="1900" w:type="dxa"/>
            <w:tcMar>
              <w:top w:w="60" w:type="dxa"/>
              <w:left w:w="110" w:type="dxa"/>
              <w:bottom w:w="60" w:type="dxa"/>
              <w:right w:w="110" w:type="dxa"/>
            </w:tcMar>
          </w:tcPr>
          <w:p w14:paraId="5B51AF98" w14:textId="77777777" w:rsidR="005531D6" w:rsidRDefault="00000000">
            <w:r>
              <w:rPr>
                <w:color w:val="1A222E"/>
                <w:sz w:val="19"/>
                <w:szCs w:val="19"/>
              </w:rPr>
              <w:t>5. Display</w:t>
            </w:r>
          </w:p>
        </w:tc>
        <w:tc>
          <w:tcPr>
            <w:tcW w:w="3500" w:type="dxa"/>
            <w:tcMar>
              <w:top w:w="60" w:type="dxa"/>
              <w:left w:w="110" w:type="dxa"/>
              <w:bottom w:w="60" w:type="dxa"/>
              <w:right w:w="110" w:type="dxa"/>
            </w:tcMar>
          </w:tcPr>
          <w:p w14:paraId="67CA3EEC" w14:textId="77777777" w:rsidR="005531D6" w:rsidRDefault="00000000">
            <w:r>
              <w:rPr>
                <w:color w:val="1A222E"/>
                <w:sz w:val="19"/>
                <w:szCs w:val="19"/>
              </w:rPr>
              <w:t>The dashboard as designed</w:t>
            </w:r>
          </w:p>
        </w:tc>
        <w:tc>
          <w:tcPr>
            <w:tcW w:w="3960" w:type="dxa"/>
            <w:tcMar>
              <w:top w:w="60" w:type="dxa"/>
              <w:left w:w="110" w:type="dxa"/>
              <w:bottom w:w="60" w:type="dxa"/>
              <w:right w:w="110" w:type="dxa"/>
            </w:tcMar>
          </w:tcPr>
          <w:p w14:paraId="54DCC25E" w14:textId="77777777" w:rsidR="005531D6" w:rsidRDefault="00000000">
            <w:r>
              <w:rPr>
                <w:color w:val="1A222E"/>
                <w:sz w:val="19"/>
                <w:szCs w:val="19"/>
              </w:rPr>
              <w:t>The existing design, rendered from the engine's data for whichever client is selected. No redesign.</w:t>
            </w:r>
          </w:p>
        </w:tc>
      </w:tr>
    </w:tbl>
    <w:p w14:paraId="5062654B" w14:textId="77777777" w:rsidR="005531D6" w:rsidRDefault="005531D6">
      <w:pPr>
        <w:spacing w:after="100" w:line="270" w:lineRule="auto"/>
      </w:pPr>
    </w:p>
    <w:p w14:paraId="69D4D472" w14:textId="2073170A" w:rsidR="005531D6" w:rsidRDefault="00000000">
      <w:pPr>
        <w:spacing w:after="100" w:line="270" w:lineRule="auto"/>
      </w:pPr>
      <w:r w:rsidRPr="009B71A3">
        <w:rPr>
          <w:b/>
          <w:bCs/>
          <w:color w:val="1A222E"/>
        </w:rPr>
        <w:t>The one rule that matters most: one set of code, one client list, one scheduled run that produces every client's dashboard. If a new client would need development rather than configuration, the engine has not been built as specified. The engine must handle an uneven mix one company may bring six clients, another two as simply more entries in the list</w:t>
      </w:r>
      <w:r>
        <w:rPr>
          <w:color w:val="1A222E"/>
        </w:rPr>
        <w:t>.</w:t>
      </w:r>
    </w:p>
    <w:p w14:paraId="24E71054" w14:textId="77777777" w:rsidR="005531D6" w:rsidRDefault="00000000">
      <w:pPr>
        <w:pStyle w:val="Heading2"/>
        <w:spacing w:before="220" w:after="80"/>
      </w:pPr>
      <w:r>
        <w:rPr>
          <w:b/>
          <w:bCs/>
          <w:color w:val="1E8E5A"/>
          <w:sz w:val="24"/>
          <w:szCs w:val="24"/>
        </w:rPr>
        <w:t>4. The client configuration sheet — what an entry contains</w:t>
      </w:r>
    </w:p>
    <w:p w14:paraId="4F6A241B" w14:textId="77777777" w:rsidR="005531D6" w:rsidRDefault="00000000">
      <w:pPr>
        <w:spacing w:after="100" w:line="270" w:lineRule="auto"/>
      </w:pPr>
      <w:r>
        <w:rPr>
          <w:color w:val="1A222E"/>
        </w:rPr>
        <w:t>So there is no ambiguity, here is what we expect to fill in for each client, with no developer involved:</w:t>
      </w:r>
    </w:p>
    <w:p w14:paraId="35F8057D" w14:textId="77777777" w:rsidR="005531D6" w:rsidRDefault="00000000">
      <w:pPr>
        <w:pStyle w:val="ListParagraph"/>
        <w:numPr>
          <w:ilvl w:val="0"/>
          <w:numId w:val="2"/>
        </w:numPr>
        <w:spacing w:after="60" w:line="255" w:lineRule="auto"/>
      </w:pPr>
      <w:r>
        <w:rPr>
          <w:color w:val="1A222E"/>
        </w:rPr>
        <w:lastRenderedPageBreak/>
        <w:t>Client name and logo, and which GP Inc. company owns the client (Tuesday, Tonnit, Mobiiworld, Thirty31North) — so scorecards can be grouped by company and access limited later</w:t>
      </w:r>
    </w:p>
    <w:p w14:paraId="06F7528C" w14:textId="77777777" w:rsidR="005531D6" w:rsidRDefault="00000000">
      <w:pPr>
        <w:pStyle w:val="ListParagraph"/>
        <w:numPr>
          <w:ilvl w:val="0"/>
          <w:numId w:val="2"/>
        </w:numPr>
        <w:spacing w:after="60" w:line="255" w:lineRule="auto"/>
      </w:pPr>
      <w:r>
        <w:rPr>
          <w:color w:val="1A222E"/>
        </w:rPr>
        <w:t>Which data accounts to pull from (e.g. Meta Ads account ID, Google Ads ID, GA4 property, Search Console site, Shopify store)</w:t>
      </w:r>
    </w:p>
    <w:p w14:paraId="592678EF" w14:textId="77777777" w:rsidR="005531D6" w:rsidRDefault="00000000">
      <w:pPr>
        <w:pStyle w:val="ListParagraph"/>
        <w:numPr>
          <w:ilvl w:val="0"/>
          <w:numId w:val="2"/>
        </w:numPr>
        <w:spacing w:after="60" w:line="255" w:lineRule="auto"/>
      </w:pPr>
      <w:r>
        <w:rPr>
          <w:color w:val="1A222E"/>
        </w:rPr>
        <w:t>Which tabs apply (e.g. an e-commerce client: all seven; a retail client: Media, Creative, Business only; a web-development client: Tech and UI/UX only)</w:t>
      </w:r>
    </w:p>
    <w:p w14:paraId="33FA4BE1" w14:textId="77777777" w:rsidR="005531D6" w:rsidRDefault="00000000">
      <w:pPr>
        <w:pStyle w:val="ListParagraph"/>
        <w:numPr>
          <w:ilvl w:val="0"/>
          <w:numId w:val="2"/>
        </w:numPr>
        <w:spacing w:after="60" w:line="255" w:lineRule="auto"/>
      </w:pPr>
      <w:r>
        <w:rPr>
          <w:color w:val="1A222E"/>
        </w:rPr>
        <w:t>Which benchmark set and weights apply to that client (e.g. e-commerce benchmarks vs. retail benchmarks)</w:t>
      </w:r>
    </w:p>
    <w:p w14:paraId="243DD586" w14:textId="77777777" w:rsidR="005531D6" w:rsidRDefault="00000000">
      <w:pPr>
        <w:pStyle w:val="ListParagraph"/>
        <w:numPr>
          <w:ilvl w:val="0"/>
          <w:numId w:val="2"/>
        </w:numPr>
        <w:spacing w:after="60" w:line="255" w:lineRule="auto"/>
      </w:pPr>
      <w:r>
        <w:rPr>
          <w:color w:val="1A222E"/>
        </w:rPr>
        <w:t>Refresh frequency (weekly by default)</w:t>
      </w:r>
    </w:p>
    <w:p w14:paraId="733546E6" w14:textId="77777777" w:rsidR="005531D6" w:rsidRDefault="00000000">
      <w:pPr>
        <w:spacing w:after="100" w:line="270" w:lineRule="auto"/>
      </w:pPr>
      <w:r>
        <w:rPr>
          <w:b/>
          <w:bCs/>
          <w:color w:val="1A222E"/>
        </w:rPr>
        <w:t xml:space="preserve">Please show us, in your proposal, what this sheet looks like in your design. </w:t>
      </w:r>
      <w:r>
        <w:rPr>
          <w:color w:val="1A222E"/>
        </w:rPr>
        <w:t>This is how we will know you have understood the product.</w:t>
      </w:r>
    </w:p>
    <w:p w14:paraId="5DEDE1DC" w14:textId="77777777" w:rsidR="005531D6" w:rsidRDefault="00000000">
      <w:pPr>
        <w:pStyle w:val="Heading2"/>
        <w:spacing w:before="220" w:after="80"/>
      </w:pPr>
      <w:r>
        <w:rPr>
          <w:b/>
          <w:bCs/>
          <w:color w:val="1E8E5A"/>
          <w:sz w:val="24"/>
          <w:szCs w:val="24"/>
        </w:rPr>
        <w:t>5. Where it runs</w:t>
      </w:r>
    </w:p>
    <w:p w14:paraId="09FE9BF4" w14:textId="77777777" w:rsidR="005531D6" w:rsidRDefault="00000000">
      <w:pPr>
        <w:spacing w:after="100" w:line="270" w:lineRule="auto"/>
      </w:pPr>
      <w:r>
        <w:rPr>
          <w:color w:val="1A222E"/>
        </w:rPr>
        <w:t>The engine must run on a small cloud server that we pay for and own (we expect roughly AED 200–400 per month), not on anyone's laptop. Deploying the engine to that server, and setting up the scheduled run, is part of your scope. Dashboards must be viewable in a browser via a private, password-protected link per client. A full login portal is not required now.</w:t>
      </w:r>
    </w:p>
    <w:p w14:paraId="07B189C1" w14:textId="77777777" w:rsidR="005531D6" w:rsidRDefault="00000000">
      <w:pPr>
        <w:pStyle w:val="Heading2"/>
        <w:spacing w:before="220" w:after="80"/>
      </w:pPr>
      <w:r>
        <w:rPr>
          <w:b/>
          <w:bCs/>
          <w:color w:val="1E8E5A"/>
          <w:sz w:val="24"/>
          <w:szCs w:val="24"/>
        </w:rPr>
        <w:t>6. Who provides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531D6" w14:paraId="450B61D7" w14:textId="77777777">
        <w:tblPrEx>
          <w:tblCellMar>
            <w:top w:w="0" w:type="dxa"/>
            <w:bottom w:w="0" w:type="dxa"/>
          </w:tblCellMar>
        </w:tblPrEx>
        <w:tc>
          <w:tcPr>
            <w:tcW w:w="4680" w:type="dxa"/>
            <w:shd w:val="clear" w:color="auto" w:fill="EEF3F0"/>
            <w:tcMar>
              <w:top w:w="60" w:type="dxa"/>
              <w:left w:w="110" w:type="dxa"/>
              <w:bottom w:w="60" w:type="dxa"/>
              <w:right w:w="110" w:type="dxa"/>
            </w:tcMar>
          </w:tcPr>
          <w:p w14:paraId="40FE67BC" w14:textId="77777777" w:rsidR="005531D6" w:rsidRDefault="00000000">
            <w:r>
              <w:rPr>
                <w:b/>
                <w:bCs/>
                <w:color w:val="1A222E"/>
                <w:sz w:val="19"/>
                <w:szCs w:val="19"/>
              </w:rPr>
              <w:t>We provide</w:t>
            </w:r>
          </w:p>
        </w:tc>
        <w:tc>
          <w:tcPr>
            <w:tcW w:w="4680" w:type="dxa"/>
            <w:shd w:val="clear" w:color="auto" w:fill="EEF3F0"/>
            <w:tcMar>
              <w:top w:w="60" w:type="dxa"/>
              <w:left w:w="110" w:type="dxa"/>
              <w:bottom w:w="60" w:type="dxa"/>
              <w:right w:w="110" w:type="dxa"/>
            </w:tcMar>
          </w:tcPr>
          <w:p w14:paraId="7ADE8118" w14:textId="77777777" w:rsidR="005531D6" w:rsidRDefault="00000000">
            <w:r>
              <w:rPr>
                <w:b/>
                <w:bCs/>
                <w:color w:val="1A222E"/>
                <w:sz w:val="19"/>
                <w:szCs w:val="19"/>
              </w:rPr>
              <w:t>You provide</w:t>
            </w:r>
          </w:p>
        </w:tc>
      </w:tr>
      <w:tr w:rsidR="005531D6" w14:paraId="5F6D5CC2" w14:textId="77777777">
        <w:tblPrEx>
          <w:tblCellMar>
            <w:top w:w="0" w:type="dxa"/>
            <w:bottom w:w="0" w:type="dxa"/>
          </w:tblCellMar>
        </w:tblPrEx>
        <w:tc>
          <w:tcPr>
            <w:tcW w:w="4680" w:type="dxa"/>
            <w:tcMar>
              <w:top w:w="60" w:type="dxa"/>
              <w:left w:w="110" w:type="dxa"/>
              <w:bottom w:w="60" w:type="dxa"/>
              <w:right w:w="110" w:type="dxa"/>
            </w:tcMar>
          </w:tcPr>
          <w:p w14:paraId="60B55324" w14:textId="77777777" w:rsidR="005531D6" w:rsidRDefault="00000000">
            <w:r>
              <w:rPr>
                <w:color w:val="1A222E"/>
                <w:sz w:val="19"/>
                <w:szCs w:val="19"/>
              </w:rPr>
              <w:t>The dashboard design and HTML build</w:t>
            </w:r>
          </w:p>
        </w:tc>
        <w:tc>
          <w:tcPr>
            <w:tcW w:w="4680" w:type="dxa"/>
            <w:tcMar>
              <w:top w:w="60" w:type="dxa"/>
              <w:left w:w="110" w:type="dxa"/>
              <w:bottom w:w="60" w:type="dxa"/>
              <w:right w:w="110" w:type="dxa"/>
            </w:tcMar>
          </w:tcPr>
          <w:p w14:paraId="27436458" w14:textId="77777777" w:rsidR="005531D6" w:rsidRDefault="00000000">
            <w:r>
              <w:rPr>
                <w:color w:val="1A222E"/>
                <w:sz w:val="19"/>
                <w:szCs w:val="19"/>
              </w:rPr>
              <w:t>Backend integration with Windsor.ai and the database</w:t>
            </w:r>
          </w:p>
        </w:tc>
      </w:tr>
      <w:tr w:rsidR="005531D6" w14:paraId="7C0A65CD" w14:textId="77777777">
        <w:tblPrEx>
          <w:tblCellMar>
            <w:top w:w="0" w:type="dxa"/>
            <w:bottom w:w="0" w:type="dxa"/>
          </w:tblCellMar>
        </w:tblPrEx>
        <w:tc>
          <w:tcPr>
            <w:tcW w:w="4680" w:type="dxa"/>
            <w:tcMar>
              <w:top w:w="60" w:type="dxa"/>
              <w:left w:w="110" w:type="dxa"/>
              <w:bottom w:w="60" w:type="dxa"/>
              <w:right w:w="110" w:type="dxa"/>
            </w:tcMar>
          </w:tcPr>
          <w:p w14:paraId="018C61B0" w14:textId="77777777" w:rsidR="005531D6" w:rsidRDefault="00000000">
            <w:r>
              <w:rPr>
                <w:color w:val="1A222E"/>
                <w:sz w:val="19"/>
                <w:szCs w:val="19"/>
              </w:rPr>
              <w:t>All KPI, benchmark, weight and scoring logic (values)</w:t>
            </w:r>
          </w:p>
        </w:tc>
        <w:tc>
          <w:tcPr>
            <w:tcW w:w="4680" w:type="dxa"/>
            <w:tcMar>
              <w:top w:w="60" w:type="dxa"/>
              <w:left w:w="110" w:type="dxa"/>
              <w:bottom w:w="60" w:type="dxa"/>
              <w:right w:w="110" w:type="dxa"/>
            </w:tcMar>
          </w:tcPr>
          <w:p w14:paraId="018C3CF0" w14:textId="77777777" w:rsidR="005531D6" w:rsidRDefault="00000000">
            <w:r>
              <w:rPr>
                <w:color w:val="1A222E"/>
                <w:sz w:val="19"/>
                <w:szCs w:val="19"/>
              </w:rPr>
              <w:t>The configurable scoring engine that applies those values per client</w:t>
            </w:r>
          </w:p>
        </w:tc>
      </w:tr>
      <w:tr w:rsidR="005531D6" w14:paraId="6AE95527" w14:textId="77777777">
        <w:tblPrEx>
          <w:tblCellMar>
            <w:top w:w="0" w:type="dxa"/>
            <w:bottom w:w="0" w:type="dxa"/>
          </w:tblCellMar>
        </w:tblPrEx>
        <w:tc>
          <w:tcPr>
            <w:tcW w:w="4680" w:type="dxa"/>
            <w:tcMar>
              <w:top w:w="60" w:type="dxa"/>
              <w:left w:w="110" w:type="dxa"/>
              <w:bottom w:w="60" w:type="dxa"/>
              <w:right w:w="110" w:type="dxa"/>
            </w:tcMar>
          </w:tcPr>
          <w:p w14:paraId="35F07207" w14:textId="77777777" w:rsidR="005531D6" w:rsidRDefault="00000000">
            <w:r>
              <w:rPr>
                <w:color w:val="1A222E"/>
                <w:sz w:val="19"/>
                <w:szCs w:val="19"/>
              </w:rPr>
              <w:t>The Windsor.ai account and subscription</w:t>
            </w:r>
          </w:p>
        </w:tc>
        <w:tc>
          <w:tcPr>
            <w:tcW w:w="4680" w:type="dxa"/>
            <w:tcMar>
              <w:top w:w="60" w:type="dxa"/>
              <w:left w:w="110" w:type="dxa"/>
              <w:bottom w:w="60" w:type="dxa"/>
              <w:right w:w="110" w:type="dxa"/>
            </w:tcMar>
          </w:tcPr>
          <w:p w14:paraId="64534E22" w14:textId="77777777" w:rsidR="005531D6" w:rsidRDefault="00000000">
            <w:r>
              <w:rPr>
                <w:color w:val="1A222E"/>
                <w:sz w:val="19"/>
                <w:szCs w:val="19"/>
              </w:rPr>
              <w:t>The client configuration layer (the settings sheet and the code that reads it)</w:t>
            </w:r>
          </w:p>
        </w:tc>
      </w:tr>
      <w:tr w:rsidR="005531D6" w14:paraId="3419FF82" w14:textId="77777777">
        <w:tblPrEx>
          <w:tblCellMar>
            <w:top w:w="0" w:type="dxa"/>
            <w:bottom w:w="0" w:type="dxa"/>
          </w:tblCellMar>
        </w:tblPrEx>
        <w:tc>
          <w:tcPr>
            <w:tcW w:w="4680" w:type="dxa"/>
            <w:tcMar>
              <w:top w:w="60" w:type="dxa"/>
              <w:left w:w="110" w:type="dxa"/>
              <w:bottom w:w="60" w:type="dxa"/>
              <w:right w:w="110" w:type="dxa"/>
            </w:tcMar>
          </w:tcPr>
          <w:p w14:paraId="14749B1A" w14:textId="77777777" w:rsidR="005531D6" w:rsidRDefault="00000000">
            <w:r>
              <w:rPr>
                <w:color w:val="1A222E"/>
                <w:sz w:val="19"/>
                <w:szCs w:val="19"/>
              </w:rPr>
              <w:t>Cloud server and hosting costs</w:t>
            </w:r>
          </w:p>
        </w:tc>
        <w:tc>
          <w:tcPr>
            <w:tcW w:w="4680" w:type="dxa"/>
            <w:tcMar>
              <w:top w:w="60" w:type="dxa"/>
              <w:left w:w="110" w:type="dxa"/>
              <w:bottom w:w="60" w:type="dxa"/>
              <w:right w:w="110" w:type="dxa"/>
            </w:tcMar>
          </w:tcPr>
          <w:p w14:paraId="586EF781" w14:textId="77777777" w:rsidR="005531D6" w:rsidRDefault="00000000">
            <w:r>
              <w:rPr>
                <w:color w:val="1A222E"/>
                <w:sz w:val="19"/>
                <w:szCs w:val="19"/>
              </w:rPr>
              <w:t>Deployment to our server and the scheduled refresh</w:t>
            </w:r>
          </w:p>
        </w:tc>
      </w:tr>
      <w:tr w:rsidR="005531D6" w14:paraId="685E971E" w14:textId="77777777">
        <w:tblPrEx>
          <w:tblCellMar>
            <w:top w:w="0" w:type="dxa"/>
            <w:bottom w:w="0" w:type="dxa"/>
          </w:tblCellMar>
        </w:tblPrEx>
        <w:tc>
          <w:tcPr>
            <w:tcW w:w="4680" w:type="dxa"/>
            <w:tcMar>
              <w:top w:w="60" w:type="dxa"/>
              <w:left w:w="110" w:type="dxa"/>
              <w:bottom w:w="60" w:type="dxa"/>
              <w:right w:w="110" w:type="dxa"/>
            </w:tcMar>
          </w:tcPr>
          <w:p w14:paraId="646BEA6D" w14:textId="77777777" w:rsidR="005531D6" w:rsidRDefault="00000000">
            <w:r>
              <w:rPr>
                <w:color w:val="1A222E"/>
                <w:sz w:val="19"/>
                <w:szCs w:val="19"/>
              </w:rPr>
              <w:t>Client account access and credentials, on time</w:t>
            </w:r>
          </w:p>
        </w:tc>
        <w:tc>
          <w:tcPr>
            <w:tcW w:w="4680" w:type="dxa"/>
            <w:tcMar>
              <w:top w:w="60" w:type="dxa"/>
              <w:left w:w="110" w:type="dxa"/>
              <w:bottom w:w="60" w:type="dxa"/>
              <w:right w:w="110" w:type="dxa"/>
            </w:tcMar>
          </w:tcPr>
          <w:p w14:paraId="1B0D4D63" w14:textId="77777777" w:rsidR="005531D6" w:rsidRDefault="00000000">
            <w:r>
              <w:rPr>
                <w:color w:val="1A222E"/>
                <w:sz w:val="19"/>
                <w:szCs w:val="19"/>
              </w:rPr>
              <w:t>Documentation and handover so our own tech strategist can run and extend it</w:t>
            </w:r>
          </w:p>
        </w:tc>
      </w:tr>
      <w:tr w:rsidR="005531D6" w14:paraId="135787C6" w14:textId="77777777">
        <w:tblPrEx>
          <w:tblCellMar>
            <w:top w:w="0" w:type="dxa"/>
            <w:bottom w:w="0" w:type="dxa"/>
          </w:tblCellMar>
        </w:tblPrEx>
        <w:tc>
          <w:tcPr>
            <w:tcW w:w="4680" w:type="dxa"/>
            <w:tcMar>
              <w:top w:w="60" w:type="dxa"/>
              <w:left w:w="110" w:type="dxa"/>
              <w:bottom w:w="60" w:type="dxa"/>
              <w:right w:w="110" w:type="dxa"/>
            </w:tcMar>
          </w:tcPr>
          <w:p w14:paraId="0FD85708" w14:textId="77777777" w:rsidR="005531D6" w:rsidRDefault="00000000">
            <w:r>
              <w:rPr>
                <w:color w:val="1A222E"/>
                <w:sz w:val="19"/>
                <w:szCs w:val="19"/>
              </w:rPr>
              <w:t>Validation of results within agreed timelines</w:t>
            </w:r>
          </w:p>
        </w:tc>
        <w:tc>
          <w:tcPr>
            <w:tcW w:w="4680" w:type="dxa"/>
            <w:tcMar>
              <w:top w:w="60" w:type="dxa"/>
              <w:left w:w="110" w:type="dxa"/>
              <w:bottom w:w="60" w:type="dxa"/>
              <w:right w:w="110" w:type="dxa"/>
            </w:tcMar>
          </w:tcPr>
          <w:p w14:paraId="798F8E6B" w14:textId="77777777" w:rsidR="005531D6" w:rsidRDefault="00000000">
            <w:r>
              <w:rPr>
                <w:color w:val="1A222E"/>
                <w:sz w:val="19"/>
                <w:szCs w:val="19"/>
              </w:rPr>
              <w:t>Fixes for anything that does not match validated logic</w:t>
            </w:r>
          </w:p>
        </w:tc>
      </w:tr>
    </w:tbl>
    <w:p w14:paraId="200075CC" w14:textId="77777777" w:rsidR="005531D6" w:rsidRDefault="00000000">
      <w:pPr>
        <w:pStyle w:val="Heading2"/>
        <w:spacing w:before="220" w:after="80"/>
      </w:pPr>
      <w:r>
        <w:rPr>
          <w:b/>
          <w:bCs/>
          <w:color w:val="1E8E5A"/>
          <w:sz w:val="24"/>
          <w:szCs w:val="24"/>
        </w:rPr>
        <w:t>7. The four pilot clients, and what “finished” means</w:t>
      </w:r>
    </w:p>
    <w:p w14:paraId="4CB3D5CC" w14:textId="77777777" w:rsidR="005531D6" w:rsidRDefault="00000000">
      <w:pPr>
        <w:spacing w:after="100" w:line="270" w:lineRule="auto"/>
      </w:pPr>
      <w:r>
        <w:rPr>
          <w:color w:val="1A222E"/>
        </w:rPr>
        <w:t>Delivery includes a live test run for one client from each GP Inc. company — Tuesday, Tonnit &amp; Co, Mobiiworld and Thirty31North — four pilot scorecards in total. The pilots are the acceptance test.</w:t>
      </w:r>
    </w:p>
    <w:p w14:paraId="52582E73" w14:textId="14EF45CF" w:rsidR="005531D6" w:rsidRDefault="00000000">
      <w:pPr>
        <w:pStyle w:val="ListParagraph"/>
        <w:numPr>
          <w:ilvl w:val="0"/>
          <w:numId w:val="3"/>
        </w:numPr>
        <w:spacing w:after="60" w:line="255" w:lineRule="auto"/>
      </w:pPr>
      <w:r>
        <w:rPr>
          <w:b/>
          <w:bCs/>
          <w:color w:val="1A222E"/>
        </w:rPr>
        <w:t xml:space="preserve">Pilots </w:t>
      </w:r>
      <w:r w:rsidR="009B71A3">
        <w:rPr>
          <w:b/>
          <w:bCs/>
          <w:color w:val="1A222E"/>
        </w:rPr>
        <w:t xml:space="preserve">: </w:t>
      </w:r>
      <w:r>
        <w:rPr>
          <w:color w:val="1A222E"/>
        </w:rPr>
        <w:t>One client from each remaining company, each with a different tab set (for example a web-development client on Tech and UI/UX only; a comms client on Creative and SEO; a performance client on Media and Business). Each must appear as a working scorecard by filling in the configuration sheet, with no development work.</w:t>
      </w:r>
    </w:p>
    <w:p w14:paraId="1BFAE5B2" w14:textId="22714E5C" w:rsidR="005531D6" w:rsidRDefault="00000000">
      <w:pPr>
        <w:pStyle w:val="ListParagraph"/>
        <w:numPr>
          <w:ilvl w:val="0"/>
          <w:numId w:val="3"/>
        </w:numPr>
        <w:spacing w:after="60" w:line="255" w:lineRule="auto"/>
      </w:pPr>
      <w:r>
        <w:rPr>
          <w:b/>
          <w:bCs/>
          <w:color w:val="1A222E"/>
        </w:rPr>
        <w:t xml:space="preserve">Union Coop — standard sources now, the rest scoped separately. </w:t>
      </w:r>
      <w:r>
        <w:rPr>
          <w:color w:val="1A222E"/>
        </w:rPr>
        <w:t>Union Coop’s standard platform data is connected as its company’s pilot. Its non-standard data (store-level POS / Matco data, Tamayaz loyalty data, app-attribution data) has no standard Windsor connector; please quote those sources as a separate</w:t>
      </w:r>
    </w:p>
    <w:p w14:paraId="034A9112" w14:textId="6FD7D4D8" w:rsidR="005531D6" w:rsidRDefault="00000000" w:rsidP="009B71A3">
      <w:pPr>
        <w:spacing w:after="100" w:line="270" w:lineRule="auto"/>
      </w:pPr>
      <w:r>
        <w:rPr>
          <w:b/>
          <w:bCs/>
          <w:color w:val="1A222E"/>
        </w:rPr>
        <w:t xml:space="preserve">What we will provide before kick-off: </w:t>
      </w:r>
      <w:r>
        <w:rPr>
          <w:color w:val="1A222E"/>
        </w:rPr>
        <w:t xml:space="preserve">the four nominated pilot clients, the tab set for each, and confirmed account access </w:t>
      </w:r>
    </w:p>
    <w:p w14:paraId="5EAC03E1" w14:textId="77777777" w:rsidR="005531D6" w:rsidRDefault="00000000">
      <w:pPr>
        <w:spacing w:after="100" w:line="270" w:lineRule="auto"/>
      </w:pPr>
      <w:r>
        <w:rPr>
          <w:b/>
          <w:bCs/>
          <w:color w:val="1A222E"/>
        </w:rPr>
        <w:t xml:space="preserve">Acceptance: </w:t>
      </w:r>
      <w:r>
        <w:rPr>
          <w:color w:val="1A222E"/>
        </w:rPr>
        <w:t>the engine is accepted when (a) it runs on our server on schedule without anyone at your company or ours touching it, (b) it stores monthly history, (c) Pilot 1 renders our validated logic, and (d) Pilots 2, 3 and 4 have each been added through configuration alone and render correctly. All four.</w:t>
      </w:r>
    </w:p>
    <w:p w14:paraId="081DAC41" w14:textId="77777777" w:rsidR="005531D6" w:rsidRDefault="00000000">
      <w:pPr>
        <w:pStyle w:val="Heading2"/>
        <w:spacing w:before="220" w:after="80"/>
      </w:pPr>
      <w:r>
        <w:rPr>
          <w:b/>
          <w:bCs/>
          <w:color w:val="1E8E5A"/>
          <w:sz w:val="24"/>
          <w:szCs w:val="24"/>
        </w:rPr>
        <w:t>8. Ownership and handover</w:t>
      </w:r>
    </w:p>
    <w:p w14:paraId="7565F81A" w14:textId="77777777" w:rsidR="005531D6" w:rsidRDefault="00000000">
      <w:pPr>
        <w:pStyle w:val="ListParagraph"/>
        <w:numPr>
          <w:ilvl w:val="0"/>
          <w:numId w:val="2"/>
        </w:numPr>
        <w:spacing w:after="60" w:line="255" w:lineRule="auto"/>
      </w:pPr>
      <w:r>
        <w:rPr>
          <w:color w:val="1A222E"/>
        </w:rPr>
        <w:lastRenderedPageBreak/>
        <w:t>All code, the database, its structure, configuration files and documentation are the property of GP Inc. from the point of payment, and are delivered to a repository we control.</w:t>
      </w:r>
    </w:p>
    <w:p w14:paraId="63EBEA04" w14:textId="77777777" w:rsidR="005531D6" w:rsidRDefault="00000000">
      <w:pPr>
        <w:pStyle w:val="ListParagraph"/>
        <w:numPr>
          <w:ilvl w:val="0"/>
          <w:numId w:val="2"/>
        </w:numPr>
        <w:spacing w:after="60" w:line="255" w:lineRule="auto"/>
      </w:pPr>
      <w:r>
        <w:rPr>
          <w:color w:val="1A222E"/>
        </w:rPr>
        <w:t>The Windsor.ai account, server and all credentials remain in our name throughout.</w:t>
      </w:r>
    </w:p>
    <w:p w14:paraId="6C7D7CEF" w14:textId="77777777" w:rsidR="005531D6" w:rsidRDefault="00000000">
      <w:pPr>
        <w:pStyle w:val="ListParagraph"/>
        <w:numPr>
          <w:ilvl w:val="0"/>
          <w:numId w:val="2"/>
        </w:numPr>
        <w:spacing w:after="60" w:line="255" w:lineRule="auto"/>
      </w:pPr>
      <w:r>
        <w:rPr>
          <w:color w:val="1A222E"/>
        </w:rPr>
        <w:t>Handover includes a written runbook: how the refresh runs, how to add a client, how to change a benchmark, what to check when something fails. A half-day walkthrough with our tech strategist is included.</w:t>
      </w:r>
    </w:p>
    <w:p w14:paraId="252EC2BB" w14:textId="77777777" w:rsidR="005531D6" w:rsidRDefault="00000000">
      <w:pPr>
        <w:pStyle w:val="Heading2"/>
        <w:spacing w:before="220" w:after="80"/>
      </w:pPr>
      <w:r>
        <w:rPr>
          <w:b/>
          <w:bCs/>
          <w:color w:val="1E8E5A"/>
          <w:sz w:val="24"/>
          <w:szCs w:val="24"/>
        </w:rPr>
        <w:t>9. Timeline</w:t>
      </w:r>
    </w:p>
    <w:p w14:paraId="0DF1349D" w14:textId="2A36B39A" w:rsidR="005531D6" w:rsidRDefault="00000000">
      <w:pPr>
        <w:spacing w:after="100" w:line="270" w:lineRule="auto"/>
      </w:pPr>
      <w:r>
        <w:rPr>
          <w:color w:val="1A222E"/>
        </w:rPr>
        <w:t xml:space="preserve">Five weeks from kick-off to acceptance, assuming we provide access and validate results within two working days of each request. Week 1: collection and storage connected </w:t>
      </w:r>
      <w:r w:rsidR="009B71A3">
        <w:rPr>
          <w:color w:val="1A222E"/>
        </w:rPr>
        <w:t>for one client of each company</w:t>
      </w:r>
      <w:r>
        <w:rPr>
          <w:color w:val="1A222E"/>
        </w:rPr>
        <w:t xml:space="preserve"> Week 2: scoring engine and configuration layer. Week 3: deployment and scheduled run; Pilot 1 live. Week 4: </w:t>
      </w:r>
      <w:r w:rsidR="009B71A3">
        <w:rPr>
          <w:color w:val="1A222E"/>
        </w:rPr>
        <w:t xml:space="preserve">tweaks and changes </w:t>
      </w:r>
    </w:p>
    <w:p w14:paraId="797C12BE" w14:textId="77777777" w:rsidR="005531D6" w:rsidRDefault="00000000">
      <w:pPr>
        <w:pStyle w:val="Heading2"/>
        <w:spacing w:before="220" w:after="80"/>
      </w:pPr>
      <w:r>
        <w:rPr>
          <w:b/>
          <w:bCs/>
          <w:color w:val="1E8E5A"/>
          <w:sz w:val="24"/>
          <w:szCs w:val="24"/>
        </w:rPr>
        <w:t>10. Out of scope (so nobody is surprised)</w:t>
      </w:r>
    </w:p>
    <w:p w14:paraId="27E80D91" w14:textId="77777777" w:rsidR="005531D6" w:rsidRDefault="00000000">
      <w:pPr>
        <w:pStyle w:val="ListParagraph"/>
        <w:numPr>
          <w:ilvl w:val="0"/>
          <w:numId w:val="2"/>
        </w:numPr>
        <w:spacing w:after="60" w:line="255" w:lineRule="auto"/>
      </w:pPr>
      <w:r>
        <w:rPr>
          <w:color w:val="1A222E"/>
        </w:rPr>
        <w:t>A client login portal with user accounts — to be quoted later, when external clients sign.</w:t>
      </w:r>
    </w:p>
    <w:p w14:paraId="0C5D47F9" w14:textId="77777777" w:rsidR="005531D6" w:rsidRDefault="00000000">
      <w:pPr>
        <w:pStyle w:val="ListParagraph"/>
        <w:numPr>
          <w:ilvl w:val="0"/>
          <w:numId w:val="2"/>
        </w:numPr>
        <w:spacing w:after="60" w:line="255" w:lineRule="auto"/>
      </w:pPr>
      <w:r>
        <w:rPr>
          <w:color w:val="1A222E"/>
        </w:rPr>
        <w:t>Any change to the dashboard design.</w:t>
      </w:r>
    </w:p>
    <w:p w14:paraId="719EDC31" w14:textId="77777777" w:rsidR="005531D6" w:rsidRDefault="00000000">
      <w:pPr>
        <w:pStyle w:val="ListParagraph"/>
        <w:numPr>
          <w:ilvl w:val="0"/>
          <w:numId w:val="2"/>
        </w:numPr>
        <w:spacing w:after="60" w:line="255" w:lineRule="auto"/>
      </w:pPr>
      <w:r>
        <w:rPr>
          <w:color w:val="1A222E"/>
        </w:rPr>
        <w:t>Data sources with no existing Windsor connector (quoted separately, per source, when needed — Union Coop is the first such case).</w:t>
      </w:r>
    </w:p>
    <w:p w14:paraId="7672419A" w14:textId="77777777" w:rsidR="005531D6" w:rsidRDefault="00000000">
      <w:pPr>
        <w:pStyle w:val="ListParagraph"/>
        <w:numPr>
          <w:ilvl w:val="0"/>
          <w:numId w:val="2"/>
        </w:numPr>
        <w:spacing w:after="60" w:line="255" w:lineRule="auto"/>
      </w:pPr>
      <w:r>
        <w:rPr>
          <w:color w:val="1A222E"/>
        </w:rPr>
        <w:t>Windsor.ai subscription and hosting costs (ours).</w:t>
      </w:r>
    </w:p>
    <w:p w14:paraId="184BB040" w14:textId="77777777" w:rsidR="005531D6" w:rsidRDefault="00000000">
      <w:pPr>
        <w:pStyle w:val="ListParagraph"/>
        <w:numPr>
          <w:ilvl w:val="0"/>
          <w:numId w:val="2"/>
        </w:numPr>
        <w:spacing w:after="60" w:line="255" w:lineRule="auto"/>
      </w:pPr>
      <w:r>
        <w:rPr>
          <w:color w:val="1A222E"/>
        </w:rPr>
        <w:t>An automated AI commentary layer reading the database directly — a later phase, once the engine has produced several months of trusted results.</w:t>
      </w:r>
    </w:p>
    <w:p w14:paraId="3EEB38EF" w14:textId="77777777" w:rsidR="005531D6" w:rsidRDefault="005531D6">
      <w:pPr>
        <w:spacing w:after="100" w:line="270" w:lineRule="auto"/>
      </w:pPr>
    </w:p>
    <w:p w14:paraId="60F3F360" w14:textId="77777777" w:rsidR="005531D6" w:rsidRDefault="00000000">
      <w:pPr>
        <w:spacing w:after="100" w:line="270" w:lineRule="auto"/>
      </w:pPr>
      <w:r>
        <w:rPr>
          <w:b/>
          <w:bCs/>
          <w:color w:val="1A222E"/>
        </w:rPr>
        <w:t xml:space="preserve">Why these numbers: </w:t>
      </w:r>
      <w:r>
        <w:rPr>
          <w:color w:val="1A222E"/>
        </w:rPr>
        <w:t>the product definition, design, measurement logic, data pipe and pilot clients are all supplied. What we are commissioning is the engineering to make an existing, working product repeatable and self-running. We are pricing that engineering, not a product build from scratch.</w:t>
      </w:r>
    </w:p>
    <w:p w14:paraId="09CC9FD1" w14:textId="77777777" w:rsidR="005531D6" w:rsidRDefault="00000000">
      <w:pPr>
        <w:pStyle w:val="Heading2"/>
        <w:spacing w:before="220" w:after="80"/>
      </w:pPr>
      <w:r>
        <w:rPr>
          <w:b/>
          <w:bCs/>
          <w:color w:val="1E8E5A"/>
          <w:sz w:val="24"/>
          <w:szCs w:val="24"/>
        </w:rPr>
        <w:t>12. What we need in your response</w:t>
      </w:r>
    </w:p>
    <w:p w14:paraId="0A1BC4A9" w14:textId="77777777" w:rsidR="005531D6" w:rsidRDefault="00000000">
      <w:pPr>
        <w:pStyle w:val="ListParagraph"/>
        <w:numPr>
          <w:ilvl w:val="0"/>
          <w:numId w:val="4"/>
        </w:numPr>
        <w:spacing w:after="60" w:line="255" w:lineRule="auto"/>
      </w:pPr>
      <w:r>
        <w:rPr>
          <w:color w:val="1A222E"/>
        </w:rPr>
        <w:t>Confirmation, section by section, of what is in and out of your scope.</w:t>
      </w:r>
    </w:p>
    <w:p w14:paraId="66542F8E" w14:textId="77777777" w:rsidR="005531D6" w:rsidRDefault="00000000">
      <w:pPr>
        <w:pStyle w:val="ListParagraph"/>
        <w:numPr>
          <w:ilvl w:val="0"/>
          <w:numId w:val="4"/>
        </w:numPr>
        <w:spacing w:after="60" w:line="255" w:lineRule="auto"/>
      </w:pPr>
      <w:r>
        <w:rPr>
          <w:color w:val="1A222E"/>
        </w:rPr>
        <w:t>A one-page description of the client configuration sheet in your design (Section 4).</w:t>
      </w:r>
    </w:p>
    <w:p w14:paraId="46B14236" w14:textId="77777777" w:rsidR="005531D6" w:rsidRDefault="00000000">
      <w:pPr>
        <w:pStyle w:val="ListParagraph"/>
        <w:numPr>
          <w:ilvl w:val="0"/>
          <w:numId w:val="4"/>
        </w:numPr>
        <w:spacing w:after="60" w:line="255" w:lineRule="auto"/>
      </w:pPr>
      <w:r>
        <w:rPr>
          <w:color w:val="1A222E"/>
        </w:rPr>
        <w:t>Confirmation that the engine will be deployed to our server with a scheduled run (Section 5).</w:t>
      </w:r>
    </w:p>
    <w:p w14:paraId="1945F37A" w14:textId="77777777" w:rsidR="005531D6" w:rsidRDefault="00000000">
      <w:pPr>
        <w:pStyle w:val="ListParagraph"/>
        <w:numPr>
          <w:ilvl w:val="0"/>
          <w:numId w:val="4"/>
        </w:numPr>
        <w:spacing w:after="60" w:line="255" w:lineRule="auto"/>
      </w:pPr>
      <w:r>
        <w:rPr>
          <w:color w:val="1A222E"/>
        </w:rPr>
        <w:t>Your written agreement to the four-pilot acceptance test and ownership terms (Sections 7 and 8).</w:t>
      </w:r>
    </w:p>
    <w:p w14:paraId="62D2C294" w14:textId="0F94D29F" w:rsidR="005531D6" w:rsidRDefault="005531D6">
      <w:pPr>
        <w:spacing w:after="100" w:line="270" w:lineRule="auto"/>
      </w:pPr>
    </w:p>
    <w:sectPr w:rsidR="005531D6">
      <w:pgSz w:w="11906" w:h="16838"/>
      <w:pgMar w:top="1050" w:right="1250" w:bottom="1050" w:left="12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AD4F67"/>
    <w:multiLevelType w:val="hybridMultilevel"/>
    <w:tmpl w:val="CDF6D986"/>
    <w:lvl w:ilvl="0" w:tplc="9AB0F012">
      <w:start w:val="1"/>
      <w:numFmt w:val="decimal"/>
      <w:lvlText w:val="%1."/>
      <w:lvlJc w:val="left"/>
      <w:pPr>
        <w:ind w:left="400" w:hanging="280"/>
      </w:pPr>
    </w:lvl>
    <w:lvl w:ilvl="1" w:tplc="8EB8C6BC">
      <w:numFmt w:val="decimal"/>
      <w:lvlText w:val=""/>
      <w:lvlJc w:val="left"/>
    </w:lvl>
    <w:lvl w:ilvl="2" w:tplc="9A0889B2">
      <w:numFmt w:val="decimal"/>
      <w:lvlText w:val=""/>
      <w:lvlJc w:val="left"/>
    </w:lvl>
    <w:lvl w:ilvl="3" w:tplc="026C3478">
      <w:numFmt w:val="decimal"/>
      <w:lvlText w:val=""/>
      <w:lvlJc w:val="left"/>
    </w:lvl>
    <w:lvl w:ilvl="4" w:tplc="40DEF9FC">
      <w:numFmt w:val="decimal"/>
      <w:lvlText w:val=""/>
      <w:lvlJc w:val="left"/>
    </w:lvl>
    <w:lvl w:ilvl="5" w:tplc="BC221EE0">
      <w:numFmt w:val="decimal"/>
      <w:lvlText w:val=""/>
      <w:lvlJc w:val="left"/>
    </w:lvl>
    <w:lvl w:ilvl="6" w:tplc="DF5698AA">
      <w:numFmt w:val="decimal"/>
      <w:lvlText w:val=""/>
      <w:lvlJc w:val="left"/>
    </w:lvl>
    <w:lvl w:ilvl="7" w:tplc="2C10D676">
      <w:numFmt w:val="decimal"/>
      <w:lvlText w:val=""/>
      <w:lvlJc w:val="left"/>
    </w:lvl>
    <w:lvl w:ilvl="8" w:tplc="04244770">
      <w:numFmt w:val="decimal"/>
      <w:lvlText w:val=""/>
      <w:lvlJc w:val="left"/>
    </w:lvl>
  </w:abstractNum>
  <w:abstractNum w:abstractNumId="1" w15:restartNumberingAfterBreak="0">
    <w:nsid w:val="341136A1"/>
    <w:multiLevelType w:val="hybridMultilevel"/>
    <w:tmpl w:val="E6FE409E"/>
    <w:lvl w:ilvl="0" w:tplc="751E9E7A">
      <w:start w:val="1"/>
      <w:numFmt w:val="bullet"/>
      <w:lvlText w:val="●"/>
      <w:lvlJc w:val="left"/>
      <w:pPr>
        <w:ind w:left="720" w:hanging="360"/>
      </w:pPr>
    </w:lvl>
    <w:lvl w:ilvl="1" w:tplc="5A862A7C">
      <w:start w:val="1"/>
      <w:numFmt w:val="bullet"/>
      <w:lvlText w:val="○"/>
      <w:lvlJc w:val="left"/>
      <w:pPr>
        <w:ind w:left="1440" w:hanging="360"/>
      </w:pPr>
    </w:lvl>
    <w:lvl w:ilvl="2" w:tplc="1D883744">
      <w:start w:val="1"/>
      <w:numFmt w:val="bullet"/>
      <w:lvlText w:val="■"/>
      <w:lvlJc w:val="left"/>
      <w:pPr>
        <w:ind w:left="2160" w:hanging="360"/>
      </w:pPr>
    </w:lvl>
    <w:lvl w:ilvl="3" w:tplc="A9D016BA">
      <w:start w:val="1"/>
      <w:numFmt w:val="bullet"/>
      <w:lvlText w:val="●"/>
      <w:lvlJc w:val="left"/>
      <w:pPr>
        <w:ind w:left="2880" w:hanging="360"/>
      </w:pPr>
    </w:lvl>
    <w:lvl w:ilvl="4" w:tplc="2BAE1DD8">
      <w:start w:val="1"/>
      <w:numFmt w:val="bullet"/>
      <w:lvlText w:val="○"/>
      <w:lvlJc w:val="left"/>
      <w:pPr>
        <w:ind w:left="3600" w:hanging="360"/>
      </w:pPr>
    </w:lvl>
    <w:lvl w:ilvl="5" w:tplc="2AFEE1D0">
      <w:start w:val="1"/>
      <w:numFmt w:val="bullet"/>
      <w:lvlText w:val="■"/>
      <w:lvlJc w:val="left"/>
      <w:pPr>
        <w:ind w:left="4320" w:hanging="360"/>
      </w:pPr>
    </w:lvl>
    <w:lvl w:ilvl="6" w:tplc="ABE29C0A">
      <w:start w:val="1"/>
      <w:numFmt w:val="bullet"/>
      <w:lvlText w:val="●"/>
      <w:lvlJc w:val="left"/>
      <w:pPr>
        <w:ind w:left="5040" w:hanging="360"/>
      </w:pPr>
    </w:lvl>
    <w:lvl w:ilvl="7" w:tplc="CE289426">
      <w:start w:val="1"/>
      <w:numFmt w:val="bullet"/>
      <w:lvlText w:val="●"/>
      <w:lvlJc w:val="left"/>
      <w:pPr>
        <w:ind w:left="5760" w:hanging="360"/>
      </w:pPr>
    </w:lvl>
    <w:lvl w:ilvl="8" w:tplc="2162091C">
      <w:start w:val="1"/>
      <w:numFmt w:val="bullet"/>
      <w:lvlText w:val="●"/>
      <w:lvlJc w:val="left"/>
      <w:pPr>
        <w:ind w:left="6480" w:hanging="360"/>
      </w:pPr>
    </w:lvl>
  </w:abstractNum>
  <w:abstractNum w:abstractNumId="2" w15:restartNumberingAfterBreak="0">
    <w:nsid w:val="3BD6408C"/>
    <w:multiLevelType w:val="hybridMultilevel"/>
    <w:tmpl w:val="F3A6CF18"/>
    <w:lvl w:ilvl="0" w:tplc="8868829E">
      <w:start w:val="1"/>
      <w:numFmt w:val="decimal"/>
      <w:lvlText w:val="%1."/>
      <w:lvlJc w:val="left"/>
      <w:pPr>
        <w:ind w:left="400" w:hanging="280"/>
      </w:pPr>
    </w:lvl>
    <w:lvl w:ilvl="1" w:tplc="86A007D2">
      <w:numFmt w:val="decimal"/>
      <w:lvlText w:val=""/>
      <w:lvlJc w:val="left"/>
    </w:lvl>
    <w:lvl w:ilvl="2" w:tplc="6DE0A24E">
      <w:numFmt w:val="decimal"/>
      <w:lvlText w:val=""/>
      <w:lvlJc w:val="left"/>
    </w:lvl>
    <w:lvl w:ilvl="3" w:tplc="F1F284A4">
      <w:numFmt w:val="decimal"/>
      <w:lvlText w:val=""/>
      <w:lvlJc w:val="left"/>
    </w:lvl>
    <w:lvl w:ilvl="4" w:tplc="EFE2623C">
      <w:numFmt w:val="decimal"/>
      <w:lvlText w:val=""/>
      <w:lvlJc w:val="left"/>
    </w:lvl>
    <w:lvl w:ilvl="5" w:tplc="0F0CC5DA">
      <w:numFmt w:val="decimal"/>
      <w:lvlText w:val=""/>
      <w:lvlJc w:val="left"/>
    </w:lvl>
    <w:lvl w:ilvl="6" w:tplc="F6F6F89C">
      <w:numFmt w:val="decimal"/>
      <w:lvlText w:val=""/>
      <w:lvlJc w:val="left"/>
    </w:lvl>
    <w:lvl w:ilvl="7" w:tplc="0A8C0550">
      <w:numFmt w:val="decimal"/>
      <w:lvlText w:val=""/>
      <w:lvlJc w:val="left"/>
    </w:lvl>
    <w:lvl w:ilvl="8" w:tplc="3AE6D9DE">
      <w:numFmt w:val="decimal"/>
      <w:lvlText w:val=""/>
      <w:lvlJc w:val="left"/>
    </w:lvl>
  </w:abstractNum>
  <w:abstractNum w:abstractNumId="3" w15:restartNumberingAfterBreak="0">
    <w:nsid w:val="5A9A0145"/>
    <w:multiLevelType w:val="hybridMultilevel"/>
    <w:tmpl w:val="ADC8482E"/>
    <w:lvl w:ilvl="0" w:tplc="80CA5800">
      <w:start w:val="1"/>
      <w:numFmt w:val="bullet"/>
      <w:lvlText w:val="–"/>
      <w:lvlJc w:val="left"/>
      <w:pPr>
        <w:ind w:left="360" w:hanging="200"/>
      </w:pPr>
    </w:lvl>
    <w:lvl w:ilvl="1" w:tplc="8AFC619A">
      <w:numFmt w:val="decimal"/>
      <w:lvlText w:val=""/>
      <w:lvlJc w:val="left"/>
    </w:lvl>
    <w:lvl w:ilvl="2" w:tplc="A81A57E0">
      <w:numFmt w:val="decimal"/>
      <w:lvlText w:val=""/>
      <w:lvlJc w:val="left"/>
    </w:lvl>
    <w:lvl w:ilvl="3" w:tplc="C25488F8">
      <w:numFmt w:val="decimal"/>
      <w:lvlText w:val=""/>
      <w:lvlJc w:val="left"/>
    </w:lvl>
    <w:lvl w:ilvl="4" w:tplc="1F2AF676">
      <w:numFmt w:val="decimal"/>
      <w:lvlText w:val=""/>
      <w:lvlJc w:val="left"/>
    </w:lvl>
    <w:lvl w:ilvl="5" w:tplc="C5D4FE1E">
      <w:numFmt w:val="decimal"/>
      <w:lvlText w:val=""/>
      <w:lvlJc w:val="left"/>
    </w:lvl>
    <w:lvl w:ilvl="6" w:tplc="64A45830">
      <w:numFmt w:val="decimal"/>
      <w:lvlText w:val=""/>
      <w:lvlJc w:val="left"/>
    </w:lvl>
    <w:lvl w:ilvl="7" w:tplc="C06C94EA">
      <w:numFmt w:val="decimal"/>
      <w:lvlText w:val=""/>
      <w:lvlJc w:val="left"/>
    </w:lvl>
    <w:lvl w:ilvl="8" w:tplc="3DBCB644">
      <w:numFmt w:val="decimal"/>
      <w:lvlText w:val=""/>
      <w:lvlJc w:val="left"/>
    </w:lvl>
  </w:abstractNum>
  <w:num w:numId="1" w16cid:durableId="2074085474">
    <w:abstractNumId w:val="1"/>
    <w:lvlOverride w:ilvl="0">
      <w:startOverride w:val="1"/>
    </w:lvlOverride>
  </w:num>
  <w:num w:numId="2" w16cid:durableId="1624922315">
    <w:abstractNumId w:val="3"/>
    <w:lvlOverride w:ilvl="0">
      <w:startOverride w:val="1"/>
    </w:lvlOverride>
  </w:num>
  <w:num w:numId="3" w16cid:durableId="779027579">
    <w:abstractNumId w:val="2"/>
    <w:lvlOverride w:ilvl="0">
      <w:startOverride w:val="1"/>
    </w:lvlOverride>
  </w:num>
  <w:num w:numId="4" w16cid:durableId="20493768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1D6"/>
    <w:rsid w:val="0015433C"/>
    <w:rsid w:val="002C0E3C"/>
    <w:rsid w:val="005531D6"/>
    <w:rsid w:val="009B71A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8B81B8B"/>
  <w15:docId w15:val="{F030FC0E-8423-AB42-9DAA-7483AE0F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1209</Words>
  <Characters>6895</Characters>
  <Application>Microsoft Office Word</Application>
  <DocSecurity>0</DocSecurity>
  <Lines>57</Lines>
  <Paragraphs>16</Paragraphs>
  <ScaleCrop>false</ScaleCrop>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Kavita Ramrakhiani</cp:lastModifiedBy>
  <cp:revision>2</cp:revision>
  <dcterms:created xsi:type="dcterms:W3CDTF">2026-08-31T13:00:00Z</dcterms:created>
  <dcterms:modified xsi:type="dcterms:W3CDTF">2026-08-31T13:00:00Z</dcterms:modified>
</cp:coreProperties>
</file>