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E8E5A"/>
          <w:sz w:val="15"/>
          <w:szCs w:val="15"/>
        </w:rPr>
        <w:t xml:space="preserve">THE BIZCOM ENGINE · BUILD BRIEF TO THE TECH TEAM</w:t>
      </w:r>
    </w:p>
    <w:p>
      <w:pPr>
        <w:spacing w:after="60"/>
      </w:pPr>
      <w:r>
        <w:rPr>
          <w:rFonts w:ascii="Calibri" w:cs="Calibri" w:eastAsia="Calibri" w:hAnsi="Calibri"/>
          <w:b/>
          <w:bCs/>
          <w:color w:val="1A222E"/>
          <w:sz w:val="27"/>
          <w:szCs w:val="27"/>
        </w:rPr>
        <w:t xml:space="preserve">Union Coop — Competition Block (Media + Creative Sections)</w:t>
      </w:r>
    </w:p>
    <w:p>
      <w:pPr>
        <w:spacing w:after="75" w:line="250"/>
      </w:pPr>
      <w:r>
        <w:rPr>
          <w:rFonts w:ascii="Calibri" w:cs="Calibri" w:eastAsia="Calibri" w:hAnsi="Calibri"/>
          <w:b/>
          <w:bCs/>
          <w:color w:val="1A222E"/>
          <w:sz w:val="19"/>
          <w:szCs w:val="19"/>
        </w:rPr>
        <w:t xml:space="preserve">Client: </w:t>
      </w:r>
      <w:r>
        <w:rPr>
          <w:rFonts w:ascii="Calibri" w:cs="Calibri" w:eastAsia="Calibri" w:hAnsi="Calibri"/>
          <w:color w:val="1A222E"/>
          <w:sz w:val="19"/>
          <w:szCs w:val="19"/>
        </w:rPr>
        <w:t xml:space="preserve">Union Coop. </w:t>
      </w:r>
      <w:r>
        <w:rPr>
          <w:rFonts w:ascii="Calibri" w:cs="Calibri" w:eastAsia="Calibri" w:hAnsi="Calibri"/>
          <w:b/>
          <w:bCs/>
          <w:color w:val="1A222E"/>
          <w:sz w:val="19"/>
          <w:szCs w:val="19"/>
        </w:rPr>
        <w:t xml:space="preserve">Competitors in capture #1: </w:t>
      </w:r>
      <w:r>
        <w:rPr>
          <w:rFonts w:ascii="Calibri" w:cs="Calibri" w:eastAsia="Calibri" w:hAnsi="Calibri"/>
          <w:color w:val="1A222E"/>
          <w:sz w:val="19"/>
          <w:szCs w:val="19"/>
        </w:rPr>
        <w:t xml:space="preserve">Carrefour UAE (Meta page “Carrefour UAE”, run by Majid Al Futtaim) and LuLu Hypermarket (Meta page “LuLu Hypermarket”). Nesto and Spinneys follow later as configuration rows only. </w:t>
      </w:r>
      <w:r>
        <w:rPr>
          <w:rFonts w:ascii="Calibri" w:cs="Calibri" w:eastAsia="Calibri" w:hAnsi="Calibri"/>
          <w:b/>
          <w:bCs/>
          <w:color w:val="1A222E"/>
          <w:sz w:val="19"/>
          <w:szCs w:val="19"/>
        </w:rPr>
        <w:t xml:space="preserve">How data arrives: </w:t>
      </w:r>
      <w:r>
        <w:rPr>
          <w:rFonts w:ascii="Calibri" w:cs="Calibri" w:eastAsia="Calibri" w:hAnsi="Calibri"/>
          <w:color w:val="1A222E"/>
          <w:sz w:val="19"/>
          <w:szCs w:val="19"/>
        </w:rPr>
        <w:t xml:space="preserve">one capture workbook plus ad screenshots, sent by TBL monthly. Capture #1 (1 October 2026) is attached: Competition-Capture-UnionCoop-Carrefour-LuLu-01-Oct-2026.xlsx — 30 Carrefour ads and 24 LuLu ads.</w:t>
      </w:r>
    </w:p>
    <w:p>
      <w:pPr>
        <w:spacing w:after="75" w:line="250"/>
      </w:pPr>
      <w:r>
        <w:rPr>
          <w:rFonts w:ascii="Calibri" w:cs="Calibri" w:eastAsia="Calibri" w:hAnsi="Calibri"/>
          <w:b/>
          <w:bCs/>
          <w:color w:val="1A222E"/>
          <w:sz w:val="19"/>
          <w:szCs w:val="19"/>
        </w:rPr>
        <w:t xml:space="preserve">This block follows the Rivoli competition build brief. This document only lists what is THE SAME in one line each, and spells out what is DIFFERENT for Union Coop. Read both documents before building.</w:t>
      </w:r>
    </w:p>
    <w:p>
      <w:pPr>
        <w:pStyle w:val="Heading2"/>
        <w:spacing w:after="60" w:before="170"/>
      </w:pPr>
      <w:r>
        <w:rPr>
          <w:rFonts w:ascii="Calibri" w:cs="Calibri" w:eastAsia="Calibri" w:hAnsi="Calibri"/>
          <w:b/>
          <w:bCs/>
          <w:color w:val="1E8E5A"/>
          <w:sz w:val="22"/>
          <w:szCs w:val="22"/>
        </w:rPr>
        <w:t xml:space="preserve">STEP 1 — Same as the Rivoli competition block (one line each)</w:t>
      </w:r>
    </w:p>
    <w:p>
      <w:pPr>
        <w:pStyle w:val="ListParagraph"/>
        <w:numPr>
          <w:ilvl w:val="0"/>
          <w:numId w:val="2"/>
        </w:numPr>
        <w:spacing w:after="45" w:line="240"/>
      </w:pPr>
      <w:r>
        <w:rPr>
          <w:rFonts w:ascii="Calibri" w:cs="Calibri" w:eastAsia="Calibri" w:hAnsi="Calibri"/>
          <w:color w:val="1A222E"/>
          <w:sz w:val="19"/>
          <w:szCs w:val="19"/>
        </w:rPr>
        <w:t xml:space="preserve">Data source is Meta Ad Library: creative, start date, active status, platforms, versions. NO spend, reach or impressions exist — never show or estimate one. Every card and creative carries: “Source: Meta Ad Library. Activity, not spend.”</w:t>
      </w:r>
    </w:p>
    <w:p>
      <w:pPr>
        <w:pStyle w:val="ListParagraph"/>
        <w:numPr>
          <w:ilvl w:val="0"/>
          <w:numId w:val="2"/>
        </w:numPr>
        <w:spacing w:after="45" w:line="240"/>
      </w:pPr>
      <w:r>
        <w:rPr>
          <w:rFonts w:ascii="Calibri" w:cs="Calibri" w:eastAsia="Calibri" w:hAnsi="Calibri"/>
          <w:color w:val="1A222E"/>
          <w:sz w:val="19"/>
          <w:szCs w:val="19"/>
        </w:rPr>
        <w:t xml:space="preserve">Library ID is the join key across months: same ID next month = same ad still running, not a new ad.</w:t>
      </w:r>
    </w:p>
    <w:p>
      <w:pPr>
        <w:pStyle w:val="ListParagraph"/>
        <w:numPr>
          <w:ilvl w:val="0"/>
          <w:numId w:val="2"/>
        </w:numPr>
        <w:spacing w:after="45" w:line="240"/>
      </w:pPr>
      <w:r>
        <w:rPr>
          <w:rFonts w:ascii="Calibri" w:cs="Calibri" w:eastAsia="Calibri" w:hAnsi="Calibri"/>
          <w:color w:val="1A222E"/>
          <w:sz w:val="19"/>
          <w:szCs w:val="19"/>
        </w:rPr>
        <w:t xml:space="preserve">Competitors live in the client configuration sheet, one row each. Adding Nesto or Spinneys must be a configuration change only, no code.</w:t>
      </w:r>
    </w:p>
    <w:p>
      <w:pPr>
        <w:pStyle w:val="ListParagraph"/>
        <w:numPr>
          <w:ilvl w:val="0"/>
          <w:numId w:val="2"/>
        </w:numPr>
        <w:spacing w:after="45" w:line="240"/>
      </w:pPr>
      <w:r>
        <w:rPr>
          <w:rFonts w:ascii="Calibri" w:cs="Calibri" w:eastAsia="Calibri" w:hAnsi="Calibri"/>
          <w:color w:val="1A222E"/>
          <w:sz w:val="19"/>
          <w:szCs w:val="19"/>
        </w:rPr>
        <w:t xml:space="preserve">Monthly computations per competitor: active ads, new launches, stopped ads, average days running, format mix, theme mix, longest runners.</w:t>
      </w:r>
    </w:p>
    <w:p>
      <w:pPr>
        <w:pStyle w:val="ListParagraph"/>
        <w:numPr>
          <w:ilvl w:val="0"/>
          <w:numId w:val="2"/>
        </w:numPr>
        <w:spacing w:after="45" w:line="240"/>
      </w:pPr>
      <w:r>
        <w:rPr>
          <w:rFonts w:ascii="Calibri" w:cs="Calibri" w:eastAsia="Calibri" w:hAnsi="Calibri"/>
          <w:color w:val="1A222E"/>
          <w:sz w:val="19"/>
          <w:szCs w:val="19"/>
        </w:rPr>
        <w:t xml:space="preserve">Every monthly sheet and screenshot is stored forever, never overwritten. No backfill — the archive starts with this capture.</w:t>
      </w:r>
    </w:p>
    <w:p>
      <w:pPr>
        <w:pStyle w:val="ListParagraph"/>
        <w:numPr>
          <w:ilvl w:val="0"/>
          <w:numId w:val="2"/>
        </w:numPr>
        <w:spacing w:after="45" w:line="240"/>
      </w:pPr>
      <w:r>
        <w:rPr>
          <w:rFonts w:ascii="Calibri" w:cs="Calibri" w:eastAsia="Calibri" w:hAnsi="Calibri"/>
          <w:color w:val="1A222E"/>
          <w:sz w:val="19"/>
          <w:szCs w:val="19"/>
        </w:rPr>
        <w:t xml:space="preserve">Competition data NEVER enters any 0-100 score. It is context only, for Media and Creative alike.</w:t>
      </w:r>
    </w:p>
    <w:p>
      <w:pPr>
        <w:pStyle w:val="Heading2"/>
        <w:spacing w:after="60" w:before="170"/>
      </w:pPr>
      <w:r>
        <w:rPr>
          <w:rFonts w:ascii="Calibri" w:cs="Calibri" w:eastAsia="Calibri" w:hAnsi="Calibri"/>
          <w:b/>
          <w:bCs/>
          <w:color w:val="1E8E5A"/>
          <w:sz w:val="22"/>
          <w:szCs w:val="22"/>
        </w:rPr>
        <w:t xml:space="preserve">STEP 2 — Different #1: the theme taxonomy</w:t>
      </w:r>
    </w:p>
    <w:p>
      <w:pPr>
        <w:spacing w:after="75" w:line="250"/>
      </w:pPr>
      <w:r>
        <w:rPr>
          <w:rFonts w:ascii="Calibri" w:cs="Calibri" w:eastAsia="Calibri" w:hAnsi="Calibri"/>
          <w:color w:val="1A222E"/>
          <w:sz w:val="19"/>
          <w:szCs w:val="19"/>
        </w:rPr>
        <w:t xml:space="preserve">Grocery is not watches. For Union Coop's competitors the analyst tags each ad with ONE of these themes (the list lives in the configuration sheet):</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600"/>
        <w:gridCol w:w="6550"/>
      </w:tblGrid>
      <w:tr>
        <w:tc>
          <w:tcPr>
            <w:tcW w:type="dxa" w:w="2600"/>
            <w:shd w:fill="EEF3F0" w:val="clear"/>
            <w:tcMar>
              <w:top w:type="dxa" w:w="45"/>
              <w:left w:type="dxa" w:w="90"/>
              <w:bottom w:type="dxa" w:w="45"/>
              <w:right w:type="dxa" w:w="90"/>
            </w:tcMar>
          </w:tcPr>
          <w:p>
            <w:r>
              <w:rPr>
                <w:rFonts w:ascii="Calibri" w:cs="Calibri" w:eastAsia="Calibri" w:hAnsi="Calibri"/>
                <w:b/>
                <w:bCs/>
                <w:color w:val="1A222E"/>
                <w:sz w:val="17"/>
                <w:szCs w:val="17"/>
              </w:rPr>
              <w:t xml:space="preserve">Theme</w:t>
            </w:r>
          </w:p>
        </w:tc>
        <w:tc>
          <w:tcPr>
            <w:tcW w:type="dxa" w:w="6550"/>
            <w:shd w:fill="EEF3F0" w:val="clear"/>
            <w:tcMar>
              <w:top w:type="dxa" w:w="45"/>
              <w:left w:type="dxa" w:w="90"/>
              <w:bottom w:type="dxa" w:w="45"/>
              <w:right w:type="dxa" w:w="90"/>
            </w:tcMar>
          </w:tcPr>
          <w:p>
            <w:r>
              <w:rPr>
                <w:rFonts w:ascii="Calibri" w:cs="Calibri" w:eastAsia="Calibri" w:hAnsi="Calibri"/>
                <w:b/>
                <w:bCs/>
                <w:color w:val="1A222E"/>
                <w:sz w:val="17"/>
                <w:szCs w:val="17"/>
              </w:rPr>
              <w:t xml:space="preserve">Real example from capture #1</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Festival / leaflet promo</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LuLu Style &amp; Beauty Tech Deals, CheeseFiesta 15% off, LuluBig4Days</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Price promo</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LuluSavers: Galaxy chocolates AED 31.95, LED bulb AED 15</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New-user / acquisition offer</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Carrefour code NEWC4: AED 100 across first 4 orders</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Supplier-funded</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Braun festival, P&amp;G trolley giveaway, Almarai MacBook draw, Nespresso 40%, Finish dishwasher</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Shop &amp; win</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P&amp;G 10,000 trolleys; Almarai MacBook NEO / iPad draw</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Fresh / food</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Carrefour weekly fresh offers; LuLu meat and biryani rice ads</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Own label</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LuLu Bardhaman Jeerakasala Rice</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App / delivery promise</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Carrefour 50 minutes; LuLu “delivered in MINUTES”</w:t>
            </w:r>
          </w:p>
        </w:tc>
      </w:tr>
      <w:tr>
        <w:tc>
          <w:tcPr>
            <w:tcW w:type="dxa" w:w="2600"/>
            <w:tcMar>
              <w:top w:type="dxa" w:w="45"/>
              <w:left w:type="dxa" w:w="90"/>
              <w:bottom w:type="dxa" w:w="45"/>
              <w:right w:type="dxa" w:w="90"/>
            </w:tcMar>
          </w:tcPr>
          <w:p>
            <w:r>
              <w:rPr>
                <w:rFonts w:ascii="Calibri" w:cs="Calibri" w:eastAsia="Calibri" w:hAnsi="Calibri"/>
                <w:b w:val="false"/>
                <w:bCs w:val="false"/>
                <w:color w:val="1A222E"/>
                <w:sz w:val="17"/>
                <w:szCs w:val="17"/>
              </w:rPr>
              <w:t xml:space="preserve">Loyalty</w:t>
            </w:r>
          </w:p>
        </w:tc>
        <w:tc>
          <w:tcPr>
            <w:tcW w:type="dxa" w:w="6550"/>
            <w:tcMar>
              <w:top w:type="dxa" w:w="45"/>
              <w:left w:type="dxa" w:w="90"/>
              <w:bottom w:type="dxa" w:w="45"/>
              <w:right w:type="dxa" w:w="90"/>
            </w:tcMar>
          </w:tcPr>
          <w:p>
            <w:r>
              <w:rPr>
                <w:rFonts w:ascii="Calibri" w:cs="Calibri" w:eastAsia="Calibri" w:hAnsi="Calibri"/>
                <w:b w:val="false"/>
                <w:bCs w:val="false"/>
                <w:color w:val="1A222E"/>
                <w:sz w:val="17"/>
                <w:szCs w:val="17"/>
              </w:rPr>
              <w:t xml:space="preserve">Carrefour SHARE Festival</w:t>
            </w:r>
          </w:p>
        </w:tc>
      </w:tr>
    </w:tbl>
    <w:p>
      <w:pPr>
        <w:pStyle w:val="Heading2"/>
        <w:spacing w:after="60" w:before="170"/>
      </w:pPr>
      <w:r>
        <w:rPr>
          <w:rFonts w:ascii="Calibri" w:cs="Calibri" w:eastAsia="Calibri" w:hAnsi="Calibri"/>
          <w:b/>
          <w:bCs/>
          <w:color w:val="1E8E5A"/>
          <w:sz w:val="22"/>
          <w:szCs w:val="22"/>
        </w:rPr>
        <w:t xml:space="preserve">STEP 3 — Different #2: three new columns in the capture sheet</w:t>
      </w:r>
    </w:p>
    <w:p>
      <w:pPr>
        <w:pStyle w:val="ListParagraph"/>
        <w:numPr>
          <w:ilvl w:val="0"/>
          <w:numId w:val="3"/>
        </w:numPr>
        <w:spacing w:after="45" w:line="240"/>
      </w:pPr>
      <w:r>
        <w:rPr>
          <w:rFonts w:ascii="Calibri" w:cs="Calibri" w:eastAsia="Calibri" w:hAnsi="Calibri"/>
          <w:b/>
          <w:bCs/>
          <w:color w:val="1A222E"/>
          <w:sz w:val="19"/>
          <w:szCs w:val="19"/>
        </w:rPr>
        <w:t xml:space="preserve">Supplier-funded flag + supplier name. </w:t>
      </w:r>
      <w:r>
        <w:rPr>
          <w:rFonts w:ascii="Calibri" w:cs="Calibri" w:eastAsia="Calibri" w:hAnsi="Calibri"/>
          <w:color w:val="1A222E"/>
          <w:sz w:val="19"/>
          <w:szCs w:val="19"/>
        </w:rPr>
        <w:t xml:space="preserve">Count per month per competitor: how many ads carry a supplier's money. Capture #1: Carrefour 3 suppliers visible, LuLu 4.</w:t>
      </w:r>
    </w:p>
    <w:p>
      <w:pPr>
        <w:pStyle w:val="ListParagraph"/>
        <w:numPr>
          <w:ilvl w:val="0"/>
          <w:numId w:val="3"/>
        </w:numPr>
        <w:spacing w:after="45" w:line="240"/>
      </w:pPr>
      <w:r>
        <w:rPr>
          <w:rFonts w:ascii="Calibri" w:cs="Calibri" w:eastAsia="Calibri" w:hAnsi="Calibri"/>
          <w:b/>
          <w:bCs/>
          <w:color w:val="1A222E"/>
          <w:sz w:val="19"/>
          <w:szCs w:val="19"/>
        </w:rPr>
        <w:t xml:space="preserve">Influencer / branded-content flag. </w:t>
      </w:r>
      <w:r>
        <w:rPr>
          <w:rFonts w:ascii="Calibri" w:cs="Calibri" w:eastAsia="Calibri" w:hAnsi="Calibri"/>
          <w:color w:val="1A222E"/>
          <w:sz w:val="19"/>
          <w:szCs w:val="19"/>
        </w:rPr>
        <w:t xml:space="preserve">LuLu runs paid-partnership posts (“Cerrena Ann with LuLu Hypermarket”). Count per month.</w:t>
      </w:r>
    </w:p>
    <w:p>
      <w:pPr>
        <w:pStyle w:val="ListParagraph"/>
        <w:numPr>
          <w:ilvl w:val="0"/>
          <w:numId w:val="3"/>
        </w:numPr>
        <w:spacing w:after="45" w:line="240"/>
      </w:pPr>
      <w:r>
        <w:rPr>
          <w:rFonts w:ascii="Calibri" w:cs="Calibri" w:eastAsia="Calibri" w:hAnsi="Calibri"/>
          <w:b/>
          <w:bCs/>
          <w:color w:val="1A222E"/>
          <w:sz w:val="19"/>
          <w:szCs w:val="19"/>
        </w:rPr>
        <w:t xml:space="preserve">Advertised price point (AED), where the creative shows one. </w:t>
      </w:r>
      <w:r>
        <w:rPr>
          <w:rFonts w:ascii="Calibri" w:cs="Calibri" w:eastAsia="Calibri" w:hAnsi="Calibri"/>
          <w:color w:val="1A222E"/>
          <w:sz w:val="19"/>
          <w:szCs w:val="19"/>
        </w:rPr>
        <w:t xml:space="preserve">LuLu advertises exact prices; store them as numbers so the dashboard can show “price points advertised this month”.</w:t>
      </w:r>
    </w:p>
    <w:p>
      <w:pPr>
        <w:pStyle w:val="Heading2"/>
        <w:spacing w:after="60" w:before="170"/>
      </w:pPr>
      <w:r>
        <w:rPr>
          <w:rFonts w:ascii="Calibri" w:cs="Calibri" w:eastAsia="Calibri" w:hAnsi="Calibri"/>
          <w:b/>
          <w:bCs/>
          <w:color w:val="1E8E5A"/>
          <w:sz w:val="22"/>
          <w:szCs w:val="22"/>
        </w:rPr>
        <w:t xml:space="preserve">STEP 4 — Different #3: the twins rule</w:t>
      </w:r>
    </w:p>
    <w:p>
      <w:pPr>
        <w:spacing w:after="75" w:line="250"/>
      </w:pPr>
      <w:r>
        <w:rPr>
          <w:rFonts w:ascii="Calibri" w:cs="Calibri" w:eastAsia="Calibri" w:hAnsi="Calibri"/>
          <w:b/>
          <w:bCs/>
          <w:color w:val="1A222E"/>
          <w:sz w:val="19"/>
          <w:szCs w:val="19"/>
        </w:rPr>
        <w:t xml:space="preserve">LuLu runs the same creative as SEPARATE Facebook and Instagram ads </w:t>
      </w:r>
      <w:r>
        <w:rPr>
          <w:rFonts w:ascii="Calibri" w:cs="Calibri" w:eastAsia="Calibri" w:hAnsi="Calibri"/>
          <w:color w:val="1A222E"/>
          <w:sz w:val="19"/>
          <w:szCs w:val="19"/>
        </w:rPr>
        <w:t xml:space="preserve">(the library says “2 ads use this creative”). Rule: for activity counts (media view), every Library ID counts as one ad. For creative-idea counts (creative view), group by the analyst's theme tag + matching ad text, so one idea on two platforms is one idea. Both numbers appear, labelled “ads” and “creatives”.</w:t>
      </w:r>
    </w:p>
    <w:p>
      <w:pPr>
        <w:pStyle w:val="Heading2"/>
        <w:spacing w:after="60" w:before="170"/>
      </w:pPr>
      <w:r>
        <w:rPr>
          <w:rFonts w:ascii="Calibri" w:cs="Calibri" w:eastAsia="Calibri" w:hAnsi="Calibri"/>
          <w:b/>
          <w:bCs/>
          <w:color w:val="1E8E5A"/>
          <w:sz w:val="22"/>
          <w:szCs w:val="22"/>
        </w:rPr>
        <w:t xml:space="preserve">STEP 5 — Different #4: what the Creative tab shows, and the honesty label</w:t>
      </w:r>
    </w:p>
    <w:p>
      <w:pPr>
        <w:spacing w:after="75" w:line="250"/>
      </w:pPr>
      <w:r>
        <w:rPr>
          <w:rFonts w:ascii="Calibri" w:cs="Calibri" w:eastAsia="Calibri" w:hAnsi="Calibri"/>
          <w:color w:val="1A222E"/>
          <w:sz w:val="19"/>
          <w:szCs w:val="19"/>
        </w:rPr>
        <w:t xml:space="preserve">The Media section block is identical to Rivoli's (activity, new launches, longest runners with thumbnails, format mix, creative gallery behind a click). The Creative tab adds three comparison views:</w:t>
      </w:r>
    </w:p>
    <w:p>
      <w:pPr>
        <w:pStyle w:val="ListParagraph"/>
        <w:numPr>
          <w:ilvl w:val="0"/>
          <w:numId w:val="4"/>
        </w:numPr>
        <w:spacing w:after="45" w:line="240"/>
      </w:pPr>
      <w:r>
        <w:rPr>
          <w:rFonts w:ascii="Calibri" w:cs="Calibri" w:eastAsia="Calibri" w:hAnsi="Calibri"/>
          <w:b/>
          <w:bCs/>
          <w:color w:val="1A222E"/>
          <w:sz w:val="19"/>
          <w:szCs w:val="19"/>
        </w:rPr>
        <w:t xml:space="preserve">Theme mix vs Union Coop's own themes </w:t>
      </w:r>
      <w:r>
        <w:rPr>
          <w:rFonts w:ascii="Calibri" w:cs="Calibri" w:eastAsia="Calibri" w:hAnsi="Calibri"/>
          <w:color w:val="1A222E"/>
          <w:sz w:val="19"/>
          <w:szCs w:val="19"/>
        </w:rPr>
        <w:t xml:space="preserve">(from the Union Coop tagging sheet, same taxonomy where it overlaps).</w:t>
      </w:r>
    </w:p>
    <w:p>
      <w:pPr>
        <w:pStyle w:val="ListParagraph"/>
        <w:numPr>
          <w:ilvl w:val="0"/>
          <w:numId w:val="4"/>
        </w:numPr>
        <w:spacing w:after="45" w:line="240"/>
      </w:pPr>
      <w:r>
        <w:rPr>
          <w:rFonts w:ascii="Calibri" w:cs="Calibri" w:eastAsia="Calibri" w:hAnsi="Calibri"/>
          <w:b/>
          <w:bCs/>
          <w:color w:val="1A222E"/>
          <w:sz w:val="19"/>
          <w:szCs w:val="19"/>
        </w:rPr>
        <w:t xml:space="preserve">Language mix. </w:t>
      </w:r>
      <w:r>
        <w:rPr>
          <w:rFonts w:ascii="Calibri" w:cs="Calibri" w:eastAsia="Calibri" w:hAnsi="Calibri"/>
          <w:color w:val="1A222E"/>
          <w:sz w:val="19"/>
          <w:szCs w:val="19"/>
        </w:rPr>
        <w:t xml:space="preserve">Union Coop's Arabic / English / Both split from its own posts, next to the competitors'. Capture #1 check numbers: ad TEXT is English in 54 of 54 competitor ads; LuLu alone localises ARTWORK (full Arabic leaflet in the Almarai carousel, Arabic product names on price cards). Record text language and creative language as two fields.</w:t>
      </w:r>
    </w:p>
    <w:p>
      <w:pPr>
        <w:pStyle w:val="ListParagraph"/>
        <w:numPr>
          <w:ilvl w:val="0"/>
          <w:numId w:val="4"/>
        </w:numPr>
        <w:spacing w:after="45" w:line="240"/>
      </w:pPr>
      <w:r>
        <w:rPr>
          <w:rFonts w:ascii="Calibri" w:cs="Calibri" w:eastAsia="Calibri" w:hAnsi="Calibri"/>
          <w:b/>
          <w:bCs/>
          <w:color w:val="1A222E"/>
          <w:sz w:val="19"/>
          <w:szCs w:val="19"/>
        </w:rPr>
        <w:t xml:space="preserve">Format mix: </w:t>
      </w:r>
      <w:r>
        <w:rPr>
          <w:rFonts w:ascii="Calibri" w:cs="Calibri" w:eastAsia="Calibri" w:hAnsi="Calibri"/>
          <w:color w:val="1A222E"/>
          <w:sz w:val="19"/>
          <w:szCs w:val="19"/>
        </w:rPr>
        <w:t xml:space="preserve">competitor video / image / carousel share next to Union Coop's Story / Reel / Post split.</w:t>
      </w:r>
    </w:p>
    <w:p>
      <w:pPr>
        <w:spacing w:after="75" w:line="250"/>
      </w:pPr>
      <w:r>
        <w:rPr>
          <w:rFonts w:ascii="Calibri" w:cs="Calibri" w:eastAsia="Calibri" w:hAnsi="Calibri"/>
          <w:b/>
          <w:bCs/>
          <w:color w:val="1A222E"/>
          <w:sz w:val="19"/>
          <w:szCs w:val="19"/>
        </w:rPr>
        <w:t xml:space="preserve">The honesty label, hard-coded on all three views: “Their paid ads vs our organic posts.” </w:t>
      </w:r>
      <w:r>
        <w:rPr>
          <w:rFonts w:ascii="Calibri" w:cs="Calibri" w:eastAsia="Calibri" w:hAnsi="Calibri"/>
          <w:color w:val="1A222E"/>
          <w:sz w:val="19"/>
          <w:szCs w:val="19"/>
        </w:rPr>
        <w:t xml:space="preserve">Union Coop has no boosted-ad export yet, so these comparisons are directional by design. Never present them as like-for-like performance.</w:t>
      </w:r>
    </w:p>
    <w:p>
      <w:pPr>
        <w:pStyle w:val="Heading2"/>
        <w:spacing w:after="60" w:before="170"/>
      </w:pPr>
      <w:r>
        <w:rPr>
          <w:rFonts w:ascii="Calibri" w:cs="Calibri" w:eastAsia="Calibri" w:hAnsi="Calibri"/>
          <w:b/>
          <w:bCs/>
          <w:color w:val="1E8E5A"/>
          <w:sz w:val="22"/>
          <w:szCs w:val="22"/>
        </w:rPr>
        <w:t xml:space="preserve">STEP 6 — What is scored (nothing changes)</w:t>
      </w:r>
    </w:p>
    <w:p>
      <w:pPr>
        <w:spacing w:after="75" w:line="250"/>
      </w:pPr>
      <w:r>
        <w:rPr>
          <w:rFonts w:ascii="Calibri" w:cs="Calibri" w:eastAsia="Calibri" w:hAnsi="Calibri"/>
          <w:b/>
          <w:bCs/>
          <w:color w:val="1A222E"/>
          <w:sz w:val="19"/>
          <w:szCs w:val="19"/>
        </w:rPr>
        <w:t xml:space="preserve">Only Union Coop's OWN creative is ever scored, </w:t>
      </w:r>
      <w:r>
        <w:rPr>
          <w:rFonts w:ascii="Calibri" w:cs="Calibri" w:eastAsia="Calibri" w:hAnsi="Calibri"/>
          <w:color w:val="1A222E"/>
          <w:sz w:val="19"/>
          <w:szCs w:val="19"/>
        </w:rPr>
        <w:t xml:space="preserve">per the Creative Section build brief: the six cards, numbers and trends first, the 0-100 model only after Tonnit and TBL sign it off. Nothing in this document feeds a score.</w:t>
      </w:r>
    </w:p>
    <w:p>
      <w:pPr>
        <w:pStyle w:val="Heading2"/>
        <w:spacing w:after="60" w:before="170"/>
      </w:pPr>
      <w:r>
        <w:rPr>
          <w:rFonts w:ascii="Calibri" w:cs="Calibri" w:eastAsia="Calibri" w:hAnsi="Calibri"/>
          <w:b/>
          <w:bCs/>
          <w:color w:val="1E8E5A"/>
          <w:sz w:val="22"/>
          <w:szCs w:val="22"/>
        </w:rPr>
        <w:t xml:space="preserve">STEP 7 — Acceptance checklist</w:t>
      </w:r>
    </w:p>
    <w:p>
      <w:pPr>
        <w:pStyle w:val="ListParagraph"/>
        <w:numPr>
          <w:ilvl w:val="0"/>
          <w:numId w:val="5"/>
        </w:numPr>
        <w:spacing w:after="45" w:line="240"/>
      </w:pPr>
      <w:r>
        <w:rPr>
          <w:rFonts w:ascii="Calibri" w:cs="Calibri" w:eastAsia="Calibri" w:hAnsi="Calibri"/>
          <w:color w:val="1A222E"/>
          <w:sz w:val="19"/>
          <w:szCs w:val="19"/>
        </w:rPr>
        <w:t xml:space="preserve">Loading capture #1 reproduces: Carrefour 30 ads, oldest since Aug 4 (58 days, the NEWC4 ad); LuLu 24 ads, oldest since Sep 15 (16 days); supplier-funded ads Carrefour 6, LuLu ~10 across Braun/P&amp;G/Almarai/Nespresso; ad text language English 54 of 54.</w:t>
      </w:r>
    </w:p>
    <w:p>
      <w:pPr>
        <w:pStyle w:val="ListParagraph"/>
        <w:numPr>
          <w:ilvl w:val="0"/>
          <w:numId w:val="5"/>
        </w:numPr>
        <w:spacing w:after="45" w:line="240"/>
      </w:pPr>
      <w:r>
        <w:rPr>
          <w:rFonts w:ascii="Calibri" w:cs="Calibri" w:eastAsia="Calibri" w:hAnsi="Calibri"/>
          <w:color w:val="1A222E"/>
          <w:sz w:val="19"/>
          <w:szCs w:val="19"/>
        </w:rPr>
        <w:t xml:space="preserve">Library IDs join across months; LuLu FB/IG twins count as two ads but one creative.</w:t>
      </w:r>
    </w:p>
    <w:p>
      <w:pPr>
        <w:pStyle w:val="ListParagraph"/>
        <w:numPr>
          <w:ilvl w:val="0"/>
          <w:numId w:val="5"/>
        </w:numPr>
        <w:spacing w:after="45" w:line="240"/>
      </w:pPr>
      <w:r>
        <w:rPr>
          <w:rFonts w:ascii="Calibri" w:cs="Calibri" w:eastAsia="Calibri" w:hAnsi="Calibri"/>
          <w:color w:val="1A222E"/>
          <w:sz w:val="19"/>
          <w:szCs w:val="19"/>
        </w:rPr>
        <w:t xml:space="preserve">No spend, reach or impression figure anywhere; the source label and the “paid vs organic” label render exactly as written.</w:t>
      </w:r>
    </w:p>
    <w:p>
      <w:pPr>
        <w:pStyle w:val="ListParagraph"/>
        <w:numPr>
          <w:ilvl w:val="0"/>
          <w:numId w:val="5"/>
        </w:numPr>
        <w:spacing w:after="45" w:line="240"/>
      </w:pPr>
      <w:r>
        <w:rPr>
          <w:rFonts w:ascii="Calibri" w:cs="Calibri" w:eastAsia="Calibri" w:hAnsi="Calibri"/>
          <w:color w:val="1A222E"/>
          <w:sz w:val="19"/>
          <w:szCs w:val="19"/>
        </w:rPr>
        <w:t xml:space="preserve">Nesto or Spinneys can be added with one configuration row and zero code changes.</w:t>
      </w:r>
    </w:p>
    <w:p>
      <w:pPr>
        <w:pStyle w:val="ListParagraph"/>
        <w:numPr>
          <w:ilvl w:val="0"/>
          <w:numId w:val="5"/>
        </w:numPr>
        <w:spacing w:after="45" w:line="240"/>
      </w:pPr>
      <w:r>
        <w:rPr>
          <w:rFonts w:ascii="Calibri" w:cs="Calibri" w:eastAsia="Calibri" w:hAnsi="Calibri"/>
          <w:color w:val="1A222E"/>
          <w:sz w:val="19"/>
          <w:szCs w:val="19"/>
        </w:rPr>
        <w:t xml:space="preserve">A month with no capture shows “data not received”, not zero.</w:t>
      </w:r>
    </w:p>
    <w:p>
      <w:pPr>
        <w:spacing w:after="75" w:line="250"/>
      </w:pPr>
      <w:r>
        <w:rPr>
          <w:rFonts w:ascii="Calibri" w:cs="Calibri" w:eastAsia="Calibri" w:hAnsi="Calibri"/>
          <w:color w:val="1A222E"/>
          <w:sz w:val="19"/>
          <w:szCs w:val="19"/>
        </w:rPr>
        <w:t xml:space="preserve"/>
      </w:r>
    </w:p>
    <w:p>
      <w:pPr>
        <w:spacing w:after="75" w:line="250"/>
      </w:pPr>
      <w:r>
        <w:rPr>
          <w:rFonts w:ascii="Calibri" w:cs="Calibri" w:eastAsia="Calibri" w:hAnsi="Calibri"/>
          <w:b/>
          <w:bCs/>
          <w:color w:val="5A6675"/>
          <w:sz w:val="19"/>
          <w:szCs w:val="19"/>
        </w:rPr>
        <w:t xml:space="preserve">Reference: </w:t>
      </w:r>
      <w:r>
        <w:rPr>
          <w:rFonts w:ascii="Calibri" w:cs="Calibri" w:eastAsia="Calibri" w:hAnsi="Calibri"/>
          <w:color w:val="5A6675"/>
          <w:sz w:val="19"/>
          <w:szCs w:val="19"/>
        </w:rPr>
        <w:t xml:space="preserve">same engine rules as every build brief — one code, one client list, configuration not development, nothing estimated, every number traceable. Questions: write to Kavita (TBL) with the Library ID you are stuck on.</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30" w:hanging="190"/>
      </w:pPr>
    </w:lvl>
  </w:abstractNum>
  <w:abstractNum w:abstractNumId="3" w15:restartNumberingAfterBreak="0">
    <w:multiLevelType w:val="hybridMultilevel"/>
    <w:lvl w:ilvl="0" w15:tentative="1">
      <w:start w:val="1"/>
      <w:numFmt w:val="decimal"/>
      <w:lvlText w:val="%1."/>
      <w:lvlJc w:val="left"/>
      <w:pPr>
        <w:ind w:left="360" w:hanging="250"/>
      </w:pPr>
    </w:lvl>
  </w:abstractNum>
  <w:abstractNum w:abstractNumId="4" w15:restartNumberingAfterBreak="0">
    <w:multiLevelType w:val="hybridMultilevel"/>
    <w:lvl w:ilvl="0" w15:tentative="1">
      <w:start w:val="1"/>
      <w:numFmt w:val="decimal"/>
      <w:lvlText w:val="%1."/>
      <w:lvlJc w:val="left"/>
      <w:pPr>
        <w:ind w:left="360" w:hanging="250"/>
      </w:pPr>
    </w:lvl>
  </w:abstractNum>
  <w:abstractNum w:abstractNumId="5" w15:restartNumberingAfterBreak="0">
    <w:multiLevelType w:val="hybridMultilevel"/>
    <w:lvl w:ilvl="0" w15:tentative="1">
      <w:start w:val="1"/>
      <w:numFmt w:val="decimal"/>
      <w:lvlText w:val="%1."/>
      <w:lvlJc w:val="left"/>
      <w:pPr>
        <w:ind w:left="360" w:hanging="250"/>
      </w:pPr>
    </w:lvl>
  </w:abstractNum>
  <w:abstractNum w:abstractNumId="6"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2026-10-01T11:56:36.918Z</dcterms:created>
  <dcterms:modified xsi:type="dcterms:W3CDTF">2026-10-01T11:56:36.925Z</dcterms:modified>
</cp:coreProperties>
</file>

<file path=docProps/custom.xml><?xml version="1.0" encoding="utf-8"?>
<Properties xmlns="http://schemas.openxmlformats.org/officeDocument/2006/custom-properties" xmlns:vt="http://schemas.openxmlformats.org/officeDocument/2006/docPropsVTypes"/>
</file>