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a complete parsing of </w:t>
      </w:r>
      <w:r w:rsidDel="00000000" w:rsidR="00000000" w:rsidRPr="00000000">
        <w:rPr>
          <w:rFonts w:ascii="Google Sans" w:cs="Google Sans" w:eastAsia="Google Sans" w:hAnsi="Google Sans"/>
          <w:b w:val="1"/>
          <w:bCs w:val="1"/>
          <w:color w:val="1f1f1f"/>
          <w:rtl w:val="0"/>
        </w:rPr>
        <w:t xml:space="preserve">Section 2.7: TES Enhancements for Multiple Completion Support</w:t>
      </w:r>
      <w:r w:rsidDel="00000000" w:rsidR="00000000" w:rsidRPr="00000000">
        <w:rPr>
          <w:rFonts w:ascii="Google Sans" w:cs="Google Sans" w:eastAsia="Google Sans" w:hAnsi="Google Sans"/>
          <w:color w:val="1f1f1f"/>
          <w:rtl w:val="0"/>
        </w:rPr>
        <w:t xml:space="preserve"> within the official release guide, here is the granular breakdown of all requirements. This maps out every textual details, background criteria, logic rules, user-interface screens, and validation parameters, translating hidden layout components and visual logic flows directly into text.</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Mandate Overview &amp; Core Framework</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Effective Date:</w:t>
      </w:r>
      <w:r w:rsidDel="00000000" w:rsidR="00000000" w:rsidRPr="00000000">
        <w:rPr>
          <w:rFonts w:ascii="Google Sans" w:cs="Google Sans" w:eastAsia="Google Sans" w:hAnsi="Google Sans"/>
          <w:color w:val="1f1f1f"/>
          <w:rtl w:val="0"/>
        </w:rPr>
        <w:t xml:space="preserve"> August 4, 2026.</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Core Business Objective:</w:t>
      </w:r>
      <w:r w:rsidDel="00000000" w:rsidR="00000000" w:rsidRPr="00000000">
        <w:rPr>
          <w:rFonts w:ascii="Google Sans" w:cs="Google Sans" w:eastAsia="Google Sans" w:hAnsi="Google Sans"/>
          <w:color w:val="1f1f1f"/>
          <w:rtl w:val="0"/>
        </w:rPr>
        <w:t xml:space="preserve"> To provide specific technical features within the </w:t>
      </w:r>
      <w:r w:rsidDel="00000000" w:rsidR="00000000" w:rsidRPr="00000000">
        <w:rPr>
          <w:rFonts w:ascii="Google Sans" w:cs="Google Sans" w:eastAsia="Google Sans" w:hAnsi="Google Sans"/>
          <w:b w:val="1"/>
          <w:bCs w:val="1"/>
          <w:color w:val="1f1f1f"/>
          <w:rtl w:val="0"/>
        </w:rPr>
        <w:t xml:space="preserve">Transaction Exception System (TES)</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Financial Transaction Inquiry (FTI)</w:t>
      </w:r>
      <w:r w:rsidDel="00000000" w:rsidR="00000000" w:rsidRPr="00000000">
        <w:rPr>
          <w:rFonts w:ascii="Google Sans" w:cs="Google Sans" w:eastAsia="Google Sans" w:hAnsi="Google Sans"/>
          <w:color w:val="1f1f1f"/>
          <w:rtl w:val="0"/>
        </w:rPr>
        <w:t xml:space="preserve"> platform to track, research, and execute chargebacks/disputes linked to original </w:t>
      </w:r>
      <w:r w:rsidDel="00000000" w:rsidR="00000000" w:rsidRPr="00000000">
        <w:rPr>
          <w:rFonts w:ascii="Google Sans" w:cs="Google Sans" w:eastAsia="Google Sans" w:hAnsi="Google Sans"/>
          <w:b w:val="1"/>
          <w:bCs w:val="1"/>
          <w:color w:val="1f1f1f"/>
          <w:rtl w:val="0"/>
        </w:rPr>
        <w:t xml:space="preserve">multiple completion transactions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"Why":</w:t>
      </w:r>
      <w:r w:rsidDel="00000000" w:rsidR="00000000" w:rsidRPr="00000000">
        <w:rPr>
          <w:rFonts w:ascii="Google Sans" w:cs="Google Sans" w:eastAsia="Google Sans" w:hAnsi="Google Sans"/>
          <w:color w:val="1f1f1f"/>
          <w:rtl w:val="0"/>
        </w:rPr>
        <w:t xml:space="preserve"> When a single initial card authorization splits into several downstream clearings or partial completions (common in delayed shipments or multi-item eCommerce carts), previous exception mechanisms struggled to differentiate disputes filed against separate segments of the exact same authorization footprint. This enhancement bridges that data gap.</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Deep-Dive on Interface &amp; System Requirements</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Financial Transaction Inquiry (FTI) Web Platform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inquiry portal undergoes visual adaptations to differentiate compound clearings: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Summary Search Screening:</w:t>
      </w:r>
      <w:r w:rsidDel="00000000" w:rsidR="00000000" w:rsidRPr="00000000">
        <w:rPr>
          <w:rFonts w:ascii="Google Sans" w:cs="Google Sans" w:eastAsia="Google Sans" w:hAnsi="Google Sans"/>
          <w:color w:val="1f1f1f"/>
          <w:rtl w:val="0"/>
        </w:rPr>
        <w:t xml:space="preserve"> When a back-office worker searches for transaction history, the </w:t>
      </w:r>
      <w:r w:rsidDel="00000000" w:rsidR="00000000" w:rsidRPr="00000000">
        <w:rPr>
          <w:rFonts w:ascii="Google Sans" w:cs="Google Sans" w:eastAsia="Google Sans" w:hAnsi="Google Sans"/>
          <w:b w:val="1"/>
          <w:bCs w:val="1"/>
          <w:color w:val="1f1f1f"/>
          <w:rtl w:val="0"/>
        </w:rPr>
        <w:t xml:space="preserve">FTI Summary Results Screen</w:t>
      </w:r>
      <w:r w:rsidDel="00000000" w:rsidR="00000000" w:rsidRPr="00000000">
        <w:rPr>
          <w:rFonts w:ascii="Google Sans" w:cs="Google Sans" w:eastAsia="Google Sans" w:hAnsi="Google Sans"/>
          <w:color w:val="1f1f1f"/>
          <w:rtl w:val="0"/>
        </w:rPr>
        <w:t xml:space="preserve"> adds dedicated indicators to surface the distinct sequence positions and total clearing counts directly on the summary grid rows. This flag pops up only if the underlying item has multiple completion indicators present.</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Detail Search Screening:</w:t>
      </w:r>
      <w:r w:rsidDel="00000000" w:rsidR="00000000" w:rsidRPr="00000000">
        <w:rPr>
          <w:rFonts w:ascii="Google Sans" w:cs="Google Sans" w:eastAsia="Google Sans" w:hAnsi="Google Sans"/>
          <w:color w:val="1f1f1f"/>
          <w:rtl w:val="0"/>
        </w:rPr>
        <w:t xml:space="preserve"> Opening an item exposes a granular profile view. Under the </w:t>
      </w:r>
      <w:r w:rsidDel="00000000" w:rsidR="00000000" w:rsidRPr="00000000">
        <w:rPr>
          <w:rFonts w:ascii="Google Sans" w:cs="Google Sans" w:eastAsia="Google Sans" w:hAnsi="Google Sans"/>
          <w:b w:val="1"/>
          <w:bCs w:val="1"/>
          <w:color w:val="1f1f1f"/>
          <w:rtl w:val="0"/>
        </w:rPr>
        <w:t xml:space="preserve">"Authorization Info" section</w:t>
      </w:r>
      <w:r w:rsidDel="00000000" w:rsidR="00000000" w:rsidRPr="00000000">
        <w:rPr>
          <w:rFonts w:ascii="Google Sans" w:cs="Google Sans" w:eastAsia="Google Sans" w:hAnsi="Google Sans"/>
          <w:color w:val="1f1f1f"/>
          <w:rtl w:val="0"/>
        </w:rPr>
        <w:t xml:space="preserve"> of the </w:t>
      </w:r>
      <w:r w:rsidDel="00000000" w:rsidR="00000000" w:rsidRPr="00000000">
        <w:rPr>
          <w:rFonts w:ascii="Google Sans" w:cs="Google Sans" w:eastAsia="Google Sans" w:hAnsi="Google Sans"/>
          <w:b w:val="1"/>
          <w:bCs w:val="1"/>
          <w:color w:val="1f1f1f"/>
          <w:rtl w:val="0"/>
        </w:rPr>
        <w:t xml:space="preserve">FTI Detail Screen</w:t>
      </w:r>
      <w:r w:rsidDel="00000000" w:rsidR="00000000" w:rsidRPr="00000000">
        <w:rPr>
          <w:rFonts w:ascii="Google Sans" w:cs="Google Sans" w:eastAsia="Google Sans" w:hAnsi="Google Sans"/>
          <w:color w:val="1f1f1f"/>
          <w:rtl w:val="0"/>
        </w:rPr>
        <w:t xml:space="preserve">, two explicit new text boxes are displayed to document the sequence index and the total multi-completion count.</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Transaction Exception System (TES) Entry Screens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interface for submitting manual exceptions is updated with conditional visibility rules: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Interface Layer:</w:t>
      </w:r>
      <w:r w:rsidDel="00000000" w:rsidR="00000000" w:rsidRPr="00000000">
        <w:rPr>
          <w:rFonts w:ascii="Google Sans" w:cs="Google Sans" w:eastAsia="Google Sans" w:hAnsi="Google Sans"/>
          <w:color w:val="1f1f1f"/>
          <w:rtl w:val="0"/>
        </w:rPr>
        <w:t xml:space="preserve"> The TES Transaction Lookup and Dispute Submission screens add two new data entry text boxes.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Conditional Visibility Rule:</w:t>
      </w:r>
      <w:r w:rsidDel="00000000" w:rsidR="00000000" w:rsidRPr="00000000">
        <w:rPr>
          <w:rFonts w:ascii="Google Sans" w:cs="Google Sans" w:eastAsia="Google Sans" w:hAnsi="Google Sans"/>
          <w:color w:val="1f1f1f"/>
          <w:rtl w:val="0"/>
        </w:rPr>
        <w:t xml:space="preserve"> These fields are hidden by default. They dynamically shift to a </w:t>
      </w:r>
      <w:r w:rsidDel="00000000" w:rsidR="00000000" w:rsidRPr="00000000">
        <w:rPr>
          <w:rFonts w:ascii="Google Sans" w:cs="Google Sans" w:eastAsia="Google Sans" w:hAnsi="Google Sans"/>
          <w:b w:val="1"/>
          <w:bCs w:val="1"/>
          <w:color w:val="1f1f1f"/>
          <w:rtl w:val="0"/>
        </w:rPr>
        <w:t xml:space="preserve">visible</w:t>
      </w:r>
      <w:r w:rsidDel="00000000" w:rsidR="00000000" w:rsidRPr="00000000">
        <w:rPr>
          <w:rFonts w:ascii="Google Sans" w:cs="Google Sans" w:eastAsia="Google Sans" w:hAnsi="Google Sans"/>
          <w:color w:val="1f1f1f"/>
          <w:rtl w:val="0"/>
        </w:rPr>
        <w:t xml:space="preserve"> state on the interface if and only if an analyst modifies the </w:t>
      </w:r>
      <w:r w:rsidDel="00000000" w:rsidR="00000000" w:rsidRPr="00000000">
        <w:rPr>
          <w:rFonts w:ascii="Google Sans" w:cs="Google Sans" w:eastAsia="Google Sans" w:hAnsi="Google Sans"/>
          <w:b w:val="1"/>
          <w:bCs w:val="1"/>
          <w:color w:val="1f1f1f"/>
          <w:rtl w:val="0"/>
        </w:rPr>
        <w:t xml:space="preserve">"Transaction Type" dropdown list</w:t>
      </w:r>
      <w:r w:rsidDel="00000000" w:rsidR="00000000" w:rsidRPr="00000000">
        <w:rPr>
          <w:rFonts w:ascii="Google Sans" w:cs="Google Sans" w:eastAsia="Google Sans" w:hAnsi="Google Sans"/>
          <w:color w:val="1f1f1f"/>
          <w:rtl w:val="0"/>
        </w:rPr>
        <w:t xml:space="preserve"> and selects </w:t>
      </w:r>
      <w:r w:rsidDel="00000000" w:rsidR="00000000" w:rsidRPr="00000000">
        <w:rPr>
          <w:rFonts w:ascii="Google Sans" w:cs="Google Sans" w:eastAsia="Google Sans" w:hAnsi="Google Sans"/>
          <w:b w:val="1"/>
          <w:bCs w:val="1"/>
          <w:color w:val="1f1f1f"/>
          <w:rtl w:val="0"/>
        </w:rPr>
        <w:t xml:space="preserve">"Purchase Completion"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Mandatory Validation Rule:</w:t>
      </w:r>
      <w:r w:rsidDel="00000000" w:rsidR="00000000" w:rsidRPr="00000000">
        <w:rPr>
          <w:rFonts w:ascii="Google Sans" w:cs="Google Sans" w:eastAsia="Google Sans" w:hAnsi="Google Sans"/>
          <w:color w:val="1f1f1f"/>
          <w:rtl w:val="0"/>
        </w:rPr>
        <w:t xml:space="preserve"> For standard transactions, these fields are optional or greyed out. However, if </w:t>
      </w:r>
      <w:r w:rsidDel="00000000" w:rsidR="00000000" w:rsidRPr="00000000">
        <w:rPr>
          <w:rFonts w:ascii="Google Sans" w:cs="Google Sans" w:eastAsia="Google Sans" w:hAnsi="Google Sans"/>
          <w:b w:val="1"/>
          <w:bCs w:val="1"/>
          <w:color w:val="1f1f1f"/>
          <w:rtl w:val="0"/>
        </w:rPr>
        <w:t xml:space="preserve">"Purchase Completion"</w:t>
      </w:r>
      <w:r w:rsidDel="00000000" w:rsidR="00000000" w:rsidRPr="00000000">
        <w:rPr>
          <w:rFonts w:ascii="Google Sans" w:cs="Google Sans" w:eastAsia="Google Sans" w:hAnsi="Google Sans"/>
          <w:color w:val="1f1f1f"/>
          <w:rtl w:val="0"/>
        </w:rPr>
        <w:t xml:space="preserve"> is chosen, these two text boxes dynamically pivot to </w:t>
      </w:r>
      <w:r w:rsidDel="00000000" w:rsidR="00000000" w:rsidRPr="00000000">
        <w:rPr>
          <w:rFonts w:ascii="Google Sans" w:cs="Google Sans" w:eastAsia="Google Sans" w:hAnsi="Google Sans"/>
          <w:b w:val="1"/>
          <w:bCs w:val="1"/>
          <w:color w:val="1f1f1f"/>
          <w:rtl w:val="0"/>
        </w:rPr>
        <w:t xml:space="preserve">Mandatory Entry fields</w:t>
      </w:r>
      <w:r w:rsidDel="00000000" w:rsidR="00000000" w:rsidRPr="00000000">
        <w:rPr>
          <w:rFonts w:ascii="Google Sans" w:cs="Google Sans" w:eastAsia="Google Sans" w:hAnsi="Google Sans"/>
          <w:color w:val="1f1f1f"/>
          <w:rtl w:val="0"/>
        </w:rPr>
        <w:t xml:space="preserve">. An analyst cannot submit a manual chargeback in TES without filling them out.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Comprehensive Validation &amp; Error Code Matrix</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analyst submits a manual transaction entry or chargeback against a "Purchase Completion", the back-end processing core subjects the inputs to a series of algorithmic error validations. These validations prevent faulty indexing data from corrupting the exception stream:</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Error Code </w:t>
      </w:r>
      <w:r w:rsidDel="00000000" w:rsidR="00000000" w:rsidRPr="00000000">
        <w:rPr>
          <w:rFonts w:ascii="Google Sans" w:cs="Google Sans" w:eastAsia="Google Sans" w:hAnsi="Google Sans"/>
          <w:i w:val="0"/>
          <w:iCs w:val="0"/>
          <w:color w:val="000000"/>
          <w:sz w:val="22"/>
          <w:szCs w:val="22"/>
          <w:rtl w:val="0"/>
        </w:rPr>
        <w:t xml:space="preserve">TES150</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"Both the Multiple Completion Sequence and Count must be specified if present".</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System Action:</w:t>
      </w:r>
      <w:r w:rsidDel="00000000" w:rsidR="00000000" w:rsidRPr="00000000">
        <w:rPr>
          <w:rFonts w:ascii="Google Sans" w:cs="Google Sans" w:eastAsia="Google Sans" w:hAnsi="Google Sans"/>
          <w:color w:val="1f1f1f"/>
          <w:rtl w:val="0"/>
        </w:rPr>
        <w:t xml:space="preserve"> Triggers a front-end block if a user inputs a value into the Sequence field but leaves the total Count blank, or vice versa. Both fields must be provided together.</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Error Code </w:t>
      </w:r>
      <w:r w:rsidDel="00000000" w:rsidR="00000000" w:rsidRPr="00000000">
        <w:rPr>
          <w:rFonts w:ascii="Google Sans" w:cs="Google Sans" w:eastAsia="Google Sans" w:hAnsi="Google Sans"/>
          <w:i w:val="0"/>
          <w:iCs w:val="0"/>
          <w:color w:val="000000"/>
          <w:sz w:val="22"/>
          <w:szCs w:val="22"/>
          <w:rtl w:val="0"/>
        </w:rPr>
        <w:t xml:space="preserve">TES151</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"The Multiple Completion Count is invalid or out of range".</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System Action:</w:t>
      </w:r>
      <w:r w:rsidDel="00000000" w:rsidR="00000000" w:rsidRPr="00000000">
        <w:rPr>
          <w:rFonts w:ascii="Google Sans" w:cs="Google Sans" w:eastAsia="Google Sans" w:hAnsi="Google Sans"/>
          <w:color w:val="1f1f1f"/>
          <w:rtl w:val="0"/>
        </w:rPr>
        <w:t xml:space="preserve"> Enforced if the entered total count integer falls outside allowable network bounds (e.g., zero, negative figures, or non-numeric characters).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Error Code </w:t>
      </w:r>
      <w:r w:rsidDel="00000000" w:rsidR="00000000" w:rsidRPr="00000000">
        <w:rPr>
          <w:rFonts w:ascii="Google Sans" w:cs="Google Sans" w:eastAsia="Google Sans" w:hAnsi="Google Sans"/>
          <w:i w:val="0"/>
          <w:iCs w:val="0"/>
          <w:color w:val="000000"/>
          <w:sz w:val="22"/>
          <w:szCs w:val="22"/>
          <w:rtl w:val="0"/>
        </w:rPr>
        <w:t xml:space="preserve">TES152</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"The Multiple Completion Sequence is invalid or out of range".</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System Action:</w:t>
      </w:r>
      <w:r w:rsidDel="00000000" w:rsidR="00000000" w:rsidRPr="00000000">
        <w:rPr>
          <w:rFonts w:ascii="Google Sans" w:cs="Google Sans" w:eastAsia="Google Sans" w:hAnsi="Google Sans"/>
          <w:color w:val="1f1f1f"/>
          <w:rtl w:val="0"/>
        </w:rPr>
        <w:t xml:space="preserve"> Triggers if the specified individual sequence index integer is non-numeric, zero, or otherwise malformed.</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Error Code </w:t>
      </w:r>
      <w:r w:rsidDel="00000000" w:rsidR="00000000" w:rsidRPr="00000000">
        <w:rPr>
          <w:rFonts w:ascii="Google Sans" w:cs="Google Sans" w:eastAsia="Google Sans" w:hAnsi="Google Sans"/>
          <w:i w:val="0"/>
          <w:iCs w:val="0"/>
          <w:color w:val="000000"/>
          <w:sz w:val="22"/>
          <w:szCs w:val="22"/>
          <w:rtl w:val="0"/>
        </w:rPr>
        <w:t xml:space="preserve">TES153</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"The Multiple Completion Sequence cannot exceed the Count".</w:t>
      </w:r>
    </w:p>
    <w:p w:rsidR="00000000" w:rsidDel="00000000" w:rsidP="00000000" w:rsidRDefault="00000000" w:rsidRPr="00000000" w14:paraId="00000019">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System Action:</w:t>
      </w:r>
      <w:r w:rsidDel="00000000" w:rsidR="00000000" w:rsidRPr="00000000">
        <w:rPr>
          <w:rFonts w:ascii="Google Sans" w:cs="Google Sans" w:eastAsia="Google Sans" w:hAnsi="Google Sans"/>
          <w:color w:val="1f1f1f"/>
          <w:rtl w:val="0"/>
        </w:rPr>
        <w:t xml:space="preserve"> Logical cross-field comparison error. If an analyst enters a sequence of 04 but specifies a total count of 03, the input validation loop fails.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Error Code TES154*:</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"Add not allowed; multiple completions found in history".</w:t>
      </w:r>
    </w:p>
    <w:p w:rsidR="00000000" w:rsidDel="00000000" w:rsidP="00000000" w:rsidRDefault="00000000" w:rsidRPr="00000000" w14:paraId="0000001B">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System Action:</w:t>
      </w:r>
      <w:r w:rsidDel="00000000" w:rsidR="00000000" w:rsidRPr="00000000">
        <w:rPr>
          <w:rFonts w:ascii="Google Sans" w:cs="Google Sans" w:eastAsia="Google Sans" w:hAnsi="Google Sans"/>
          <w:color w:val="1f1f1f"/>
          <w:rtl w:val="0"/>
        </w:rPr>
        <w:t xml:space="preserve"> Database status safety block. Protects system state integrity if conflicting completion references conflict with pre-existing archival exception logs.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Exception Activity Report File Layout Specifications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represents the most critical engineering change for back-end applications parsing bulk data files:</w:t>
      </w:r>
    </w:p>
    <w:p w:rsidR="00000000" w:rsidDel="00000000" w:rsidP="00000000" w:rsidRDefault="00000000" w:rsidRPr="00000000" w14:paraId="0000001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New Technical Field:</w:t>
      </w:r>
      <w:r w:rsidDel="00000000" w:rsidR="00000000" w:rsidRPr="00000000">
        <w:rPr>
          <w:rFonts w:ascii="Google Sans" w:cs="Google Sans" w:eastAsia="Google Sans" w:hAnsi="Google Sans"/>
          <w:color w:val="1f1f1f"/>
          <w:rtl w:val="0"/>
        </w:rPr>
        <w:t xml:space="preserve"> An </w:t>
      </w:r>
      <w:r w:rsidDel="00000000" w:rsidR="00000000" w:rsidRPr="00000000">
        <w:rPr>
          <w:rFonts w:ascii="Google Sans" w:cs="Google Sans" w:eastAsia="Google Sans" w:hAnsi="Google Sans"/>
          <w:b w:val="1"/>
          <w:bCs w:val="1"/>
          <w:color w:val="1f1f1f"/>
          <w:rtl w:val="0"/>
        </w:rPr>
        <w:t xml:space="preserve">SNCN (Sequence Number and Count Number)</w:t>
      </w:r>
      <w:r w:rsidDel="00000000" w:rsidR="00000000" w:rsidRPr="00000000">
        <w:rPr>
          <w:rFonts w:ascii="Google Sans" w:cs="Google Sans" w:eastAsia="Google Sans" w:hAnsi="Google Sans"/>
          <w:color w:val="1f1f1f"/>
          <w:rtl w:val="0"/>
        </w:rPr>
        <w:t xml:space="preserve"> data attribute field is appended to the file structure layout.</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Length and Attributes:</w:t>
      </w:r>
      <w:r w:rsidDel="00000000" w:rsidR="00000000" w:rsidRPr="00000000">
        <w:rPr>
          <w:rFonts w:ascii="Google Sans" w:cs="Google Sans" w:eastAsia="Google Sans" w:hAnsi="Google Sans"/>
          <w:color w:val="1f1f1f"/>
          <w:rtl w:val="0"/>
        </w:rPr>
        <w:t xml:space="preserve"> It is an alphanumeric 4-character block composed of two sub-parts:</w:t>
      </w:r>
    </w:p>
    <w:p w:rsidR="00000000" w:rsidDel="00000000" w:rsidP="00000000" w:rsidRDefault="00000000" w:rsidRPr="00000000" w14:paraId="00000020">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Characters 1–2:</w:t>
      </w:r>
      <w:r w:rsidDel="00000000" w:rsidR="00000000" w:rsidRPr="00000000">
        <w:rPr>
          <w:rFonts w:ascii="Google Sans" w:cs="Google Sans" w:eastAsia="Google Sans" w:hAnsi="Google Sans"/>
          <w:color w:val="1f1f1f"/>
          <w:rtl w:val="0"/>
        </w:rPr>
        <w:t xml:space="preserve"> Multiple Completion Sequence Number (2 digits).</w:t>
      </w:r>
    </w:p>
    <w:p w:rsidR="00000000" w:rsidDel="00000000" w:rsidP="00000000" w:rsidRDefault="00000000" w:rsidRPr="00000000" w14:paraId="00000021">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Characters 3–4:</w:t>
      </w:r>
      <w:r w:rsidDel="00000000" w:rsidR="00000000" w:rsidRPr="00000000">
        <w:rPr>
          <w:rFonts w:ascii="Google Sans" w:cs="Google Sans" w:eastAsia="Google Sans" w:hAnsi="Google Sans"/>
          <w:color w:val="1f1f1f"/>
          <w:rtl w:val="0"/>
        </w:rPr>
        <w:t xml:space="preserve"> Multiple Completion Total Count Number (2 digits).</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Example String Value:</w:t>
      </w:r>
      <w:r w:rsidDel="00000000" w:rsidR="00000000" w:rsidRPr="00000000">
        <w:rPr>
          <w:rFonts w:ascii="Google Sans" w:cs="Google Sans" w:eastAsia="Google Sans" w:hAnsi="Google Sans"/>
          <w:color w:val="1f1f1f"/>
          <w:rtl w:val="0"/>
        </w:rPr>
        <w:t xml:space="preserve"> A raw parsed token of </w:t>
      </w:r>
      <w:r w:rsidDel="00000000" w:rsidR="00000000" w:rsidRPr="00000000">
        <w:rPr>
          <w:rFonts w:ascii="Google Sans" w:cs="Google Sans" w:eastAsia="Google Sans" w:hAnsi="Google Sans"/>
          <w:i w:val="0"/>
          <w:iCs w:val="0"/>
          <w:color w:val="000000"/>
          <w:sz w:val="22"/>
          <w:szCs w:val="22"/>
          <w:rtl w:val="0"/>
        </w:rPr>
        <w:t xml:space="preserve">0303</w:t>
      </w:r>
      <w:r w:rsidDel="00000000" w:rsidR="00000000" w:rsidRPr="00000000">
        <w:rPr>
          <w:rFonts w:ascii="Google Sans" w:cs="Google Sans" w:eastAsia="Google Sans" w:hAnsi="Google Sans"/>
          <w:color w:val="1f1f1f"/>
          <w:rtl w:val="0"/>
        </w:rPr>
        <w:t xml:space="preserve"> signifies to your code that the disputed clearing represents the </w:t>
      </w:r>
      <w:r w:rsidDel="00000000" w:rsidR="00000000" w:rsidRPr="00000000">
        <w:rPr>
          <w:rFonts w:ascii="Google Sans" w:cs="Google Sans" w:eastAsia="Google Sans" w:hAnsi="Google Sans"/>
          <w:b w:val="1"/>
          <w:bCs w:val="1"/>
          <w:color w:val="1f1f1f"/>
          <w:rtl w:val="0"/>
        </w:rPr>
        <w:t xml:space="preserve">3rd distinct purchase completion</w:t>
      </w:r>
      <w:r w:rsidDel="00000000" w:rsidR="00000000" w:rsidRPr="00000000">
        <w:rPr>
          <w:rFonts w:ascii="Google Sans" w:cs="Google Sans" w:eastAsia="Google Sans" w:hAnsi="Google Sans"/>
          <w:color w:val="1f1f1f"/>
          <w:rtl w:val="0"/>
        </w:rPr>
        <w:t xml:space="preserve"> out of a </w:t>
      </w:r>
      <w:r w:rsidDel="00000000" w:rsidR="00000000" w:rsidRPr="00000000">
        <w:rPr>
          <w:rFonts w:ascii="Google Sans" w:cs="Google Sans" w:eastAsia="Google Sans" w:hAnsi="Google Sans"/>
          <w:b w:val="1"/>
          <w:bCs w:val="1"/>
          <w:color w:val="1f1f1f"/>
          <w:rtl w:val="0"/>
        </w:rPr>
        <w:t xml:space="preserve">total cluster of 3 completions</w:t>
      </w:r>
      <w:r w:rsidDel="00000000" w:rsidR="00000000" w:rsidRPr="00000000">
        <w:rPr>
          <w:rFonts w:ascii="Google Sans" w:cs="Google Sans" w:eastAsia="Google Sans" w:hAnsi="Google Sans"/>
          <w:color w:val="1f1f1f"/>
          <w:rtl w:val="0"/>
        </w:rPr>
        <w:t xml:space="preserve"> tied to that original authorization.</w:t>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Fixed-Layout Baseline Rule:</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b w:val="1"/>
          <w:bCs w:val="1"/>
          <w:color w:val="1f1f1f"/>
          <w:rtl w:val="0"/>
        </w:rPr>
        <w:t xml:space="preserve">SNCN field label and space layout persist on all exception records across the report stream</w:t>
      </w:r>
      <w:r w:rsidDel="00000000" w:rsidR="00000000" w:rsidRPr="00000000">
        <w:rPr>
          <w:rFonts w:ascii="Google Sans" w:cs="Google Sans" w:eastAsia="Google Sans" w:hAnsi="Google Sans"/>
          <w:color w:val="1f1f1f"/>
          <w:rtl w:val="0"/>
        </w:rPr>
        <w:t xml:space="preserve">, regardless of whether the transaction type supports it. For standard single-cleared items, the space remains present but empty/space-padded. This requires expanding file-parsing offsets to prevent data alignment shifts.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Mandate Compliance Matrix &amp; Processing Requirements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Processor / Entity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Certification Requirement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Production Status Obligation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Mandate Detail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Software Providers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w:t>
            </w:r>
            <w:r w:rsidDel="00000000" w:rsidR="00000000" w:rsidRPr="00000000">
              <w:rPr>
                <w:rFonts w:ascii="Google Sans" w:cs="Google Sans" w:eastAsia="Google Sans" w:hAnsi="Google Sans"/>
                <w:color w:val="1f1f1f"/>
                <w:rtl w:val="0"/>
              </w:rPr>
              <w:t xml:space="preserve"> (Not Applicable)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w:t>
            </w:r>
            <w:r w:rsidDel="00000000" w:rsidR="00000000" w:rsidRPr="00000000">
              <w:rPr>
                <w:rFonts w:ascii="Google Sans" w:cs="Google Sans" w:eastAsia="Google Sans" w:hAnsi="Google Sans"/>
                <w:color w:val="1f1f1f"/>
                <w:rtl w:val="0"/>
              </w:rPr>
              <w:t xml:space="preserve"> (Not Applicable)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 system design baseline.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 Processors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w:t>
            </w:r>
            <w:r w:rsidDel="00000000" w:rsidR="00000000" w:rsidRPr="00000000">
              <w:rPr>
                <w:rFonts w:ascii="Google Sans" w:cs="Google Sans" w:eastAsia="Google Sans" w:hAnsi="Google Sans"/>
                <w:color w:val="1f1f1f"/>
                <w:rtl w:val="0"/>
              </w:rPr>
              <w:t xml:space="preserve"> (Not Applicable)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back-ends must process and route data seamlessly.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eCommerce Processors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w:t>
            </w:r>
            <w:r w:rsidDel="00000000" w:rsidR="00000000" w:rsidRPr="00000000">
              <w:rPr>
                <w:rFonts w:ascii="Google Sans" w:cs="Google Sans" w:eastAsia="Google Sans" w:hAnsi="Google Sans"/>
                <w:color w:val="1f1f1f"/>
                <w:rtl w:val="0"/>
              </w:rPr>
              <w:t xml:space="preserve"> (Not Applicable)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back-ends must process and route data seamlessly.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On-Demand Processors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w:t>
            </w:r>
            <w:r w:rsidDel="00000000" w:rsidR="00000000" w:rsidRPr="00000000">
              <w:rPr>
                <w:rFonts w:ascii="Google Sans" w:cs="Google Sans" w:eastAsia="Google Sans" w:hAnsi="Google Sans"/>
                <w:color w:val="1f1f1f"/>
                <w:rtl w:val="0"/>
              </w:rPr>
              <w:t xml:space="preserve"> (Not Applicable)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 update back-end layers to accommodate the new record fields.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ATM Terminal Processors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w:t>
            </w:r>
            <w:r w:rsidDel="00000000" w:rsidR="00000000" w:rsidRPr="00000000">
              <w:rPr>
                <w:rFonts w:ascii="Google Sans" w:cs="Google Sans" w:eastAsia="Google Sans" w:hAnsi="Google Sans"/>
                <w:color w:val="1f1f1f"/>
                <w:rtl w:val="0"/>
              </w:rPr>
              <w:t xml:space="preserve"> (Not Applicable)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exception settlement file updates apply.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Issuer Processors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w:t>
            </w:r>
            <w:r w:rsidDel="00000000" w:rsidR="00000000" w:rsidRPr="00000000">
              <w:rPr>
                <w:rFonts w:ascii="Google Sans" w:cs="Google Sans" w:eastAsia="Google Sans" w:hAnsi="Google Sans"/>
                <w:color w:val="1f1f1f"/>
                <w:rtl w:val="0"/>
              </w:rPr>
              <w:t xml:space="preserve"> (Not Applicable)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Bound to support full validation, UI updates, and report processing.</w:t>
            </w:r>
          </w:p>
        </w:tc>
      </w:tr>
    </w:tbl>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Processor Operational Action Summary:</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Acquirer Processors:</w:t>
      </w:r>
      <w:r w:rsidDel="00000000" w:rsidR="00000000" w:rsidRPr="00000000">
        <w:rPr>
          <w:rFonts w:ascii="Google Sans" w:cs="Google Sans" w:eastAsia="Google Sans" w:hAnsi="Google Sans"/>
          <w:color w:val="1f1f1f"/>
          <w:rtl w:val="0"/>
        </w:rPr>
        <w:t xml:space="preserve"> Must ensure report-ingestion software layers can swallow the expanded </w:t>
      </w:r>
      <w:r w:rsidDel="00000000" w:rsidR="00000000" w:rsidRPr="00000000">
        <w:rPr>
          <w:rFonts w:ascii="Google Sans" w:cs="Google Sans" w:eastAsia="Google Sans" w:hAnsi="Google Sans"/>
          <w:b w:val="1"/>
          <w:bCs w:val="1"/>
          <w:color w:val="1f1f1f"/>
          <w:rtl w:val="0"/>
        </w:rPr>
        <w:t xml:space="preserve">Exception Activity Report file layout</w:t>
      </w:r>
      <w:r w:rsidDel="00000000" w:rsidR="00000000" w:rsidRPr="00000000">
        <w:rPr>
          <w:rFonts w:ascii="Google Sans" w:cs="Google Sans" w:eastAsia="Google Sans" w:hAnsi="Google Sans"/>
          <w:color w:val="1f1f1f"/>
          <w:rtl w:val="0"/>
        </w:rPr>
        <w:t xml:space="preserve"> without throwing string misalignment exceptions or truncation faults.</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Issuer Processors:</w:t>
      </w:r>
      <w:r w:rsidDel="00000000" w:rsidR="00000000" w:rsidRPr="00000000">
        <w:rPr>
          <w:rFonts w:ascii="Google Sans" w:cs="Google Sans" w:eastAsia="Google Sans" w:hAnsi="Google Sans"/>
          <w:color w:val="1f1f1f"/>
          <w:rtl w:val="0"/>
        </w:rPr>
        <w:t xml:space="preserve"> Must train operations teams to use the new FTI search fields and handle conditional TES multi-completion submissions. Additionally, their processing platforms must ingest the updated </w:t>
      </w:r>
      <w:r w:rsidDel="00000000" w:rsidR="00000000" w:rsidRPr="00000000">
        <w:rPr>
          <w:rFonts w:ascii="Google Sans" w:cs="Google Sans" w:eastAsia="Google Sans" w:hAnsi="Google Sans"/>
          <w:b w:val="1"/>
          <w:bCs w:val="1"/>
          <w:color w:val="1f1f1f"/>
          <w:rtl w:val="0"/>
        </w:rPr>
        <w:t xml:space="preserve">Exception Activity Report</w:t>
      </w:r>
      <w:r w:rsidDel="00000000" w:rsidR="00000000" w:rsidRPr="00000000">
        <w:rPr>
          <w:rFonts w:ascii="Google Sans" w:cs="Google Sans" w:eastAsia="Google Sans" w:hAnsi="Google Sans"/>
          <w:color w:val="1f1f1f"/>
          <w:rtl w:val="0"/>
        </w:rPr>
        <w:t xml:space="preserve"> format containing the new SNCN variables.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