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10366E"/>
          <w:sz w:val="44"/>
        </w:rPr>
        <w:t>SECURENOVA INC.</w:t>
        <w:br/>
      </w:r>
      <w:r>
        <w:rPr>
          <w:color w:val="5A6978"/>
          <w:sz w:val="24"/>
        </w:rPr>
        <w:t>Global AI Security &amp; Identity Governance Division</w:t>
        <w:br/>
        <w:br/>
      </w:r>
      <w:r>
        <w:rPr>
          <w:b/>
          <w:color w:val="10366E"/>
          <w:sz w:val="48"/>
        </w:rPr>
        <w:t>ENTERPRISE AI IDENTITY SECURITY POLICY</w:t>
        <w:br/>
      </w:r>
      <w:r>
        <w:rPr>
          <w:i/>
          <w:color w:val="46505F"/>
          <w:sz w:val="26"/>
        </w:rPr>
        <w:t>Non-Human Identity Lifecycle, Credential Governance &amp; Incident Response Framework</w:t>
        <w:br/>
      </w:r>
    </w:p>
    <w:p>
      <w:pPr>
        <w:spacing w:after="600"/>
      </w:pP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120" w:type="dxa"/>
              <w:bottom w:w="120" w:type="dxa"/>
              <w:left w:w="150" w:type="dxa"/>
              <w:right w:w="150" w:type="dxa"/>
            </w:tcMar>
          </w:tcPr>
          <w:p>
            <w:r>
              <w:rPr>
                <w:b/>
                <w:color w:val="10366E"/>
                <w:sz w:val="20"/>
              </w:rPr>
              <w:t>Document Identifier</w:t>
            </w:r>
          </w:p>
        </w:tc>
        <w:tc>
          <w:tcPr>
            <w:tcW w:type="dxa" w:w="6192"/>
            <w:shd w:fill="FFFFFF"/>
            <w:tcMar>
              <w:top w:w="120" w:type="dxa"/>
              <w:bottom w:w="120" w:type="dxa"/>
              <w:left w:w="150" w:type="dxa"/>
              <w:right w:w="150" w:type="dxa"/>
            </w:tcMar>
          </w:tcPr>
          <w:p>
            <w:r>
              <w:rPr>
                <w:sz w:val="20"/>
              </w:rPr>
              <w:t>SEC-POL-AI-2026-01</w:t>
            </w:r>
          </w:p>
        </w:tc>
      </w:tr>
      <w:tr>
        <w:tc>
          <w:tcPr>
            <w:tcW w:type="dxa" w:w="3168"/>
            <w:shd w:fill="F0F4F8"/>
            <w:tcMar>
              <w:top w:w="120" w:type="dxa"/>
              <w:bottom w:w="120" w:type="dxa"/>
              <w:left w:w="150" w:type="dxa"/>
              <w:right w:w="150" w:type="dxa"/>
            </w:tcMar>
          </w:tcPr>
          <w:p>
            <w:r>
              <w:rPr>
                <w:b/>
                <w:color w:val="10366E"/>
                <w:sz w:val="20"/>
              </w:rPr>
              <w:t>Document Version</w:t>
            </w:r>
          </w:p>
        </w:tc>
        <w:tc>
          <w:tcPr>
            <w:tcW w:type="dxa" w:w="6192"/>
            <w:shd w:fill="FFFFFF"/>
            <w:tcMar>
              <w:top w:w="120" w:type="dxa"/>
              <w:bottom w:w="120" w:type="dxa"/>
              <w:left w:w="150" w:type="dxa"/>
              <w:right w:w="150" w:type="dxa"/>
            </w:tcMar>
          </w:tcPr>
          <w:p>
            <w:r>
              <w:rPr>
                <w:sz w:val="20"/>
              </w:rPr>
              <w:t>1.0.0 (Enterprise Final Release)</w:t>
            </w:r>
          </w:p>
        </w:tc>
      </w:tr>
      <w:tr>
        <w:tc>
          <w:tcPr>
            <w:tcW w:type="dxa" w:w="3168"/>
            <w:shd w:fill="F0F4F8"/>
            <w:tcMar>
              <w:top w:w="120" w:type="dxa"/>
              <w:bottom w:w="120" w:type="dxa"/>
              <w:left w:w="150" w:type="dxa"/>
              <w:right w:w="150" w:type="dxa"/>
            </w:tcMar>
          </w:tcPr>
          <w:p>
            <w:r>
              <w:rPr>
                <w:b/>
                <w:color w:val="10366E"/>
                <w:sz w:val="20"/>
              </w:rPr>
              <w:t>Effective Date</w:t>
            </w:r>
          </w:p>
        </w:tc>
        <w:tc>
          <w:tcPr>
            <w:tcW w:type="dxa" w:w="6192"/>
            <w:shd w:fill="FFFFFF"/>
            <w:tcMar>
              <w:top w:w="120" w:type="dxa"/>
              <w:bottom w:w="120" w:type="dxa"/>
              <w:left w:w="150" w:type="dxa"/>
              <w:right w:w="150" w:type="dxa"/>
            </w:tcMar>
          </w:tcPr>
          <w:p>
            <w:r>
              <w:rPr>
                <w:sz w:val="20"/>
              </w:rPr>
              <w:t>August 24, 2026</w:t>
            </w:r>
          </w:p>
        </w:tc>
      </w:tr>
      <w:tr>
        <w:tc>
          <w:tcPr>
            <w:tcW w:type="dxa" w:w="3168"/>
            <w:shd w:fill="F0F4F8"/>
            <w:tcMar>
              <w:top w:w="120" w:type="dxa"/>
              <w:bottom w:w="120" w:type="dxa"/>
              <w:left w:w="150" w:type="dxa"/>
              <w:right w:w="150" w:type="dxa"/>
            </w:tcMar>
          </w:tcPr>
          <w:p>
            <w:r>
              <w:rPr>
                <w:b/>
                <w:color w:val="10366E"/>
                <w:sz w:val="20"/>
              </w:rPr>
              <w:t>Review Frequency</w:t>
            </w:r>
          </w:p>
        </w:tc>
        <w:tc>
          <w:tcPr>
            <w:tcW w:type="dxa" w:w="6192"/>
            <w:shd w:fill="FFFFFF"/>
            <w:tcMar>
              <w:top w:w="120" w:type="dxa"/>
              <w:bottom w:w="120" w:type="dxa"/>
              <w:left w:w="150" w:type="dxa"/>
              <w:right w:w="150" w:type="dxa"/>
            </w:tcMar>
          </w:tcPr>
          <w:p>
            <w:r>
              <w:rPr>
                <w:sz w:val="20"/>
              </w:rPr>
              <w:t>Annual (Next Review: August 2027)</w:t>
            </w:r>
          </w:p>
        </w:tc>
      </w:tr>
      <w:tr>
        <w:tc>
          <w:tcPr>
            <w:tcW w:type="dxa" w:w="3168"/>
            <w:shd w:fill="F0F4F8"/>
            <w:tcMar>
              <w:top w:w="120" w:type="dxa"/>
              <w:bottom w:w="120" w:type="dxa"/>
              <w:left w:w="150" w:type="dxa"/>
              <w:right w:w="150" w:type="dxa"/>
            </w:tcMar>
          </w:tcPr>
          <w:p>
            <w:r>
              <w:rPr>
                <w:b/>
                <w:color w:val="10366E"/>
                <w:sz w:val="20"/>
              </w:rPr>
              <w:t>Document Owner</w:t>
            </w:r>
          </w:p>
        </w:tc>
        <w:tc>
          <w:tcPr>
            <w:tcW w:type="dxa" w:w="6192"/>
            <w:shd w:fill="FFFFFF"/>
            <w:tcMar>
              <w:top w:w="120" w:type="dxa"/>
              <w:bottom w:w="120" w:type="dxa"/>
              <w:left w:w="150" w:type="dxa"/>
              <w:right w:w="150" w:type="dxa"/>
            </w:tcMar>
          </w:tcPr>
          <w:p>
            <w:r>
              <w:rPr>
                <w:sz w:val="20"/>
              </w:rPr>
              <w:t>AI Identity Security Lead / Analyst</w:t>
            </w:r>
          </w:p>
        </w:tc>
      </w:tr>
      <w:tr>
        <w:tc>
          <w:tcPr>
            <w:tcW w:type="dxa" w:w="3168"/>
            <w:shd w:fill="F0F4F8"/>
            <w:tcMar>
              <w:top w:w="120" w:type="dxa"/>
              <w:bottom w:w="120" w:type="dxa"/>
              <w:left w:w="150" w:type="dxa"/>
              <w:right w:w="150" w:type="dxa"/>
            </w:tcMar>
          </w:tcPr>
          <w:p>
            <w:r>
              <w:rPr>
                <w:b/>
                <w:color w:val="10366E"/>
                <w:sz w:val="20"/>
              </w:rPr>
              <w:t>Approval Authority</w:t>
            </w:r>
          </w:p>
        </w:tc>
        <w:tc>
          <w:tcPr>
            <w:tcW w:type="dxa" w:w="6192"/>
            <w:shd w:fill="FFFFFF"/>
            <w:tcMar>
              <w:top w:w="120" w:type="dxa"/>
              <w:bottom w:w="120" w:type="dxa"/>
              <w:left w:w="150" w:type="dxa"/>
              <w:right w:w="150" w:type="dxa"/>
            </w:tcMar>
          </w:tcPr>
          <w:p>
            <w:r>
              <w:rPr>
                <w:b/>
                <w:color w:val="147828"/>
                <w:sz w:val="20"/>
              </w:rPr>
              <w:t>CISO &amp; Executive AI Governance Board (APPROVED)</w:t>
            </w:r>
          </w:p>
        </w:tc>
      </w:tr>
    </w:tbl>
    <w:p>
      <w:r>
        <w:br w:type="page"/>
      </w:r>
    </w:p>
    <w:p>
      <w:pPr>
        <w:pStyle w:val="Heading1"/>
      </w:pPr>
      <w:r>
        <w:rPr>
          <w:color w:val="10366E"/>
          <w:sz w:val="36"/>
        </w:rPr>
        <w:t>TABLE OF CONTENTS</w:t>
      </w:r>
    </w:p>
    <w:p>
      <w:pPr>
        <w:spacing w:after="80"/>
      </w:pPr>
      <w:r>
        <w:rPr>
          <w:b/>
        </w:rPr>
        <w:t>1. Executive Summary &amp; Purpose</w:t>
      </w:r>
    </w:p>
    <w:p>
      <w:pPr>
        <w:spacing w:after="80"/>
      </w:pPr>
      <w:r>
        <w:rPr>
          <w:b/>
        </w:rPr>
        <w:t>2. Scope &amp; Applicability</w:t>
      </w:r>
    </w:p>
    <w:p>
      <w:pPr>
        <w:spacing w:after="80"/>
      </w:pPr>
      <w:r>
        <w:rPr>
          <w:b/>
        </w:rPr>
        <w:t>3. SecureNova AI Architecture &amp; Trust Boundaries</w:t>
      </w:r>
    </w:p>
    <w:p>
      <w:pPr>
        <w:spacing w:after="80"/>
      </w:pPr>
      <w:r>
        <w:rPr>
          <w:b/>
        </w:rPr>
        <w:t>4. Governance Roles &amp; Responsibilities Matrix</w:t>
      </w:r>
    </w:p>
    <w:p>
      <w:pPr>
        <w:spacing w:after="80"/>
      </w:pPr>
      <w:r>
        <w:rPr>
          <w:b/>
          <w:color w:val="10366E"/>
        </w:rPr>
        <w:t>5. SECTION 1 — AI IDENTITY LIFECYCLE MANAGEMENT</w:t>
      </w:r>
    </w:p>
    <w:p>
      <w:pPr>
        <w:spacing w:after="80"/>
      </w:pPr>
      <w:r>
        <w:rPr>
          <w:color w:val="464646"/>
        </w:rPr>
        <w:t xml:space="preserve">   5.1 Non-Human Identity (NHI) Provisioning &amp; Approval Matrix</w:t>
      </w:r>
    </w:p>
    <w:p>
      <w:pPr>
        <w:spacing w:after="80"/>
      </w:pPr>
      <w:r>
        <w:rPr>
          <w:color w:val="464646"/>
        </w:rPr>
        <w:t xml:space="preserve">   5.2 Mandatory 90-Day Access Review Cycle</w:t>
      </w:r>
    </w:p>
    <w:p>
      <w:pPr>
        <w:spacing w:after="80"/>
      </w:pPr>
      <w:r>
        <w:rPr>
          <w:color w:val="464646"/>
        </w:rPr>
        <w:t xml:space="preserve">   5.3 Continuous Telemetry &amp; Runtime Monitoring</w:t>
      </w:r>
    </w:p>
    <w:p>
      <w:pPr>
        <w:spacing w:after="80"/>
      </w:pPr>
      <w:r>
        <w:rPr>
          <w:color w:val="464646"/>
        </w:rPr>
        <w:t xml:space="preserve">   5.4 Cryptographic Key Rotation &amp; Token Lifecycles</w:t>
      </w:r>
    </w:p>
    <w:p>
      <w:pPr>
        <w:spacing w:after="80"/>
      </w:pPr>
      <w:r>
        <w:rPr>
          <w:color w:val="464646"/>
        </w:rPr>
        <w:t xml:space="preserve">   5.5 Automated Identity Suspension &amp; Quarantine</w:t>
      </w:r>
    </w:p>
    <w:p>
      <w:pPr>
        <w:spacing w:after="80"/>
      </w:pPr>
      <w:r>
        <w:rPr>
          <w:color w:val="464646"/>
        </w:rPr>
        <w:t xml:space="preserve">   5.6 Permanent Decommissioning &amp; Audit Trail Retention</w:t>
      </w:r>
    </w:p>
    <w:p>
      <w:pPr>
        <w:spacing w:after="80"/>
      </w:pPr>
      <w:r>
        <w:rPr>
          <w:b/>
          <w:color w:val="10366E"/>
        </w:rPr>
        <w:t>6. SECTION 2 — CREDENTIAL GOVERNANCE &amp; SECRETS MANAGEMENT</w:t>
      </w:r>
    </w:p>
    <w:p>
      <w:pPr>
        <w:spacing w:after="80"/>
      </w:pPr>
      <w:r>
        <w:rPr>
          <w:color w:val="464646"/>
        </w:rPr>
        <w:t xml:space="preserve">   6.1 Prohibition of Long-Lived Agent Credentials</w:t>
      </w:r>
    </w:p>
    <w:p>
      <w:pPr>
        <w:spacing w:after="80"/>
      </w:pPr>
      <w:r>
        <w:rPr>
          <w:color w:val="464646"/>
        </w:rPr>
        <w:t xml:space="preserve">   6.2 Centralized Vault &amp; Key Management Service (KMS) Architecture</w:t>
      </w:r>
    </w:p>
    <w:p>
      <w:pPr>
        <w:spacing w:after="80"/>
      </w:pPr>
      <w:r>
        <w:rPr>
          <w:color w:val="464646"/>
        </w:rPr>
        <w:t xml:space="preserve">   6.3 Mandatory Maximum 90-Day API Key Rotation Protocol</w:t>
      </w:r>
    </w:p>
    <w:p>
      <w:pPr>
        <w:spacing w:after="80"/>
      </w:pPr>
      <w:r>
        <w:rPr>
          <w:color w:val="464646"/>
        </w:rPr>
        <w:t xml:space="preserve">   6.4 Short-Lived OAuth 2.0 M2M Tokens (TTL &lt;= 300s)</w:t>
      </w:r>
    </w:p>
    <w:p>
      <w:pPr>
        <w:spacing w:after="80"/>
      </w:pPr>
      <w:r>
        <w:rPr>
          <w:color w:val="464646"/>
        </w:rPr>
        <w:t xml:space="preserve">   6.5 Principle of Least Privilege &amp; Scope Enforcement</w:t>
      </w:r>
    </w:p>
    <w:p>
      <w:pPr>
        <w:spacing w:after="80"/>
      </w:pPr>
      <w:r>
        <w:rPr>
          <w:color w:val="464646"/>
        </w:rPr>
        <w:t xml:space="preserve">   6.6 Emergency Credential Revocation &amp; Break-Glass Workflow</w:t>
      </w:r>
    </w:p>
    <w:p>
      <w:pPr>
        <w:spacing w:after="80"/>
      </w:pPr>
      <w:r>
        <w:rPr>
          <w:b/>
          <w:color w:val="10366E"/>
        </w:rPr>
        <w:t>7. SECTION 3 — INCIDENT RESPONSE PLAYBOOK</w:t>
      </w:r>
    </w:p>
    <w:p>
      <w:pPr>
        <w:spacing w:after="80"/>
      </w:pPr>
      <w:r>
        <w:rPr>
          <w:color w:val="464646"/>
        </w:rPr>
        <w:t xml:space="preserve">   7.1 Incident Scenario A: Leaked LLM API Key</w:t>
      </w:r>
    </w:p>
    <w:p>
      <w:pPr>
        <w:spacing w:after="80"/>
      </w:pPr>
      <w:r>
        <w:rPr>
          <w:color w:val="464646"/>
        </w:rPr>
        <w:t xml:space="preserve">   7.2 Incident Scenario B: Compromised AI Agent Identity / Spoofed Agent</w:t>
      </w:r>
    </w:p>
    <w:p>
      <w:pPr>
        <w:spacing w:after="80"/>
      </w:pPr>
      <w:r>
        <w:rPr>
          <w:color w:val="464646"/>
        </w:rPr>
        <w:t xml:space="preserve">   7.3 Incident Scenario C: Prompt Injection Resulting in Data Exfiltration</w:t>
      </w:r>
    </w:p>
    <w:p>
      <w:pPr>
        <w:spacing w:after="80"/>
      </w:pPr>
      <w:r>
        <w:rPr>
          <w:b/>
        </w:rPr>
        <w:t>8. Compliance Mappings (NIST AI RMF 1.0 &amp; OWASP Top 10 for LLM)</w:t>
      </w:r>
    </w:p>
    <w:p>
      <w:pPr>
        <w:spacing w:after="80"/>
      </w:pPr>
      <w:r>
        <w:rPr>
          <w:b/>
        </w:rPr>
        <w:t>9. Policy Enforcement, Exceptions &amp; Disciplinary Actions</w:t>
      </w:r>
    </w:p>
    <w:p>
      <w:pPr>
        <w:spacing w:after="80"/>
      </w:pPr>
      <w:r>
        <w:rPr>
          <w:b/>
        </w:rPr>
        <w:t>10. Annual Review Schedule &amp; References</w:t>
      </w:r>
    </w:p>
    <w:p>
      <w:r>
        <w:br w:type="page"/>
      </w:r>
    </w:p>
    <w:p>
      <w:pPr>
        <w:pStyle w:val="Heading1"/>
        <w:spacing w:before="360" w:after="160"/>
      </w:pPr>
      <w:r>
        <w:rPr>
          <w:color w:val="10366E"/>
          <w:sz w:val="32"/>
        </w:rPr>
        <w:t>1. Executive Summary &amp; Purpose</w:t>
      </w:r>
    </w:p>
    <w:p>
      <w:r>
        <w:t>SecureNova Inc. has deployed an advanced AI-powered customer service platform leveraging autonomous LLM agents, Retrieval-Augmented Generation (RAG) vector pipelines, Model Context Protocol (MCP) server tool gateways, and internal REST APIs. The platform acts autonomously and on behalf of authenticated human customers. While these capabilities provide substantial operational efficiency, they introduce novel threat vectors targeting Non-Human Identities (NHIs), including prompt injection, agent impersonation, token exfiltration, and supply chain poisoning.</w:t>
        <w:br/>
        <w:br/>
        <w:t>The purpose of this Enterprise AI Identity Security Policy is to establish mandatory, enforceable controls governing the complete lifecycle, authentication, authorization, credential management, runtime monitoring, and incident response procedures for all human and machine identities interacting with SecureNova AI systems. This policy operationalizes Zero Trust principles across all AI trust boundaries and aligns directly with the NIST AI Risk Management Framework (AI RMF 1.0) and the OWASP Top 10 for LLM Applications (2025).</w:t>
      </w:r>
    </w:p>
    <w:p>
      <w:pPr>
        <w:pStyle w:val="Heading1"/>
        <w:spacing w:before="360" w:after="160"/>
      </w:pPr>
      <w:r>
        <w:rPr>
          <w:color w:val="10366E"/>
          <w:sz w:val="32"/>
        </w:rPr>
        <w:t>2. Scope &amp; Applicability</w:t>
      </w:r>
    </w:p>
    <w:p>
      <w:r>
        <w:t>This policy applies enterprise-wide to all employees, contractors, developers, systems, software agents, and third-party integrations at SecureNova Inc. Specifically, the scope encompasses:</w:t>
        <w:br/>
      </w:r>
    </w:p>
    <w:p>
      <w:pPr>
        <w:pStyle w:val="ListBullet"/>
      </w:pPr>
      <w:r>
        <w:t>All AI Agent Orchestrators, sub-agents, and background autonomous workers.</w:t>
      </w:r>
    </w:p>
    <w:p>
      <w:pPr>
        <w:pStyle w:val="ListBullet"/>
      </w:pPr>
      <w:r>
        <w:t>Identity and Access Management (IAM) systems, specifically Auth0 Identity Provider (IdP) configurations, OAuth 2.0 flows, and Single Sign-On (SSO).</w:t>
      </w:r>
    </w:p>
    <w:p>
      <w:pPr>
        <w:pStyle w:val="ListBullet"/>
      </w:pPr>
      <w:r>
        <w:t>Model Context Protocol (MCP) tool execution gateways and internal REST APIs.</w:t>
      </w:r>
    </w:p>
    <w:p>
      <w:pPr>
        <w:pStyle w:val="ListBullet"/>
      </w:pPr>
      <w:r>
        <w:t>Knowledge ingestion pipelines, embedding models, and Vector Database stores (RAG).</w:t>
      </w:r>
    </w:p>
    <w:p>
      <w:pPr>
        <w:pStyle w:val="ListBullet"/>
      </w:pPr>
      <w:r>
        <w:t>Model provider credentials, Machine-to-Machine (M2M) secrets, and cryptographic signing keys (Ed25519).</w:t>
      </w:r>
    </w:p>
    <w:p>
      <w:pPr>
        <w:pStyle w:val="Heading1"/>
        <w:spacing w:before="360" w:after="160"/>
      </w:pPr>
      <w:r>
        <w:rPr>
          <w:color w:val="10366E"/>
          <w:sz w:val="32"/>
        </w:rPr>
        <w:t>3. SecureNova AI Architecture &amp; Trust Boundaries</w:t>
      </w:r>
    </w:p>
    <w:p>
      <w:r>
        <w:t>SecureNova enforces explicit Zero Trust controls across five distinct Trust Boundaries (TB):</w:t>
        <w:b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0366E"/>
          </w:tcPr>
          <w:p>
            <w:r>
              <w:rPr>
                <w:b/>
                <w:color w:val="FFFFFF"/>
              </w:rPr>
              <w:t>Trust Boundary</w:t>
            </w:r>
          </w:p>
        </w:tc>
        <w:tc>
          <w:tcPr>
            <w:tcW w:type="dxa" w:w="3120"/>
            <w:tcMar>
              <w:top w:w="80" w:type="dxa"/>
              <w:bottom w:w="80" w:type="dxa"/>
              <w:left w:w="100" w:type="dxa"/>
              <w:right w:w="100" w:type="dxa"/>
            </w:tcMar>
            <w:shd w:fill="10366E"/>
          </w:tcPr>
          <w:p>
            <w:r>
              <w:rPr>
                <w:b/>
                <w:color w:val="FFFFFF"/>
              </w:rPr>
              <w:t>Interface / Transition</w:t>
            </w:r>
          </w:p>
        </w:tc>
        <w:tc>
          <w:tcPr>
            <w:tcW w:type="dxa" w:w="3120"/>
            <w:tcMar>
              <w:top w:w="80" w:type="dxa"/>
              <w:bottom w:w="80" w:type="dxa"/>
              <w:left w:w="100" w:type="dxa"/>
              <w:right w:w="100" w:type="dxa"/>
            </w:tcMar>
            <w:shd w:fill="10366E"/>
          </w:tcPr>
          <w:p>
            <w:r>
              <w:rPr>
                <w:b/>
                <w:color w:val="FFFFFF"/>
              </w:rPr>
              <w:t>Security Control &amp; Protocol</w:t>
            </w:r>
          </w:p>
        </w:tc>
      </w:tr>
      <w:tr>
        <w:tc>
          <w:tcPr>
            <w:tcW w:type="dxa" w:w="3120"/>
            <w:tcMar>
              <w:top w:w="80" w:type="dxa"/>
              <w:bottom w:w="80" w:type="dxa"/>
              <w:left w:w="100" w:type="dxa"/>
              <w:right w:w="100" w:type="dxa"/>
            </w:tcMar>
            <w:shd w:fill="F8FAFC"/>
          </w:tcPr>
          <w:p>
            <w:r>
              <w:rPr>
                <w:sz w:val="19"/>
              </w:rPr>
              <w:t>TB-1: User Boundary</w:t>
            </w:r>
          </w:p>
        </w:tc>
        <w:tc>
          <w:tcPr>
            <w:tcW w:type="dxa" w:w="3120"/>
            <w:tcMar>
              <w:top w:w="80" w:type="dxa"/>
              <w:bottom w:w="80" w:type="dxa"/>
              <w:left w:w="100" w:type="dxa"/>
              <w:right w:w="100" w:type="dxa"/>
            </w:tcMar>
            <w:shd w:fill="F8FAFC"/>
          </w:tcPr>
          <w:p>
            <w:r>
              <w:rPr>
                <w:sz w:val="19"/>
              </w:rPr>
              <w:t>Customer Web Browser -&gt; Auth0 IdP / Web Gateway</w:t>
            </w:r>
          </w:p>
        </w:tc>
        <w:tc>
          <w:tcPr>
            <w:tcW w:type="dxa" w:w="3120"/>
            <w:tcMar>
              <w:top w:w="80" w:type="dxa"/>
              <w:bottom w:w="80" w:type="dxa"/>
              <w:left w:w="100" w:type="dxa"/>
              <w:right w:w="100" w:type="dxa"/>
            </w:tcMar>
            <w:shd w:fill="F8FAFC"/>
          </w:tcPr>
          <w:p>
            <w:r>
              <w:rPr>
                <w:sz w:val="19"/>
              </w:rPr>
              <w:t>OAuth 2.0 + PKCE (RFC 7636), Mandatory MFA, Short-lived ID/Access Tokens</w:t>
            </w:r>
          </w:p>
        </w:tc>
      </w:tr>
      <w:tr>
        <w:tc>
          <w:tcPr>
            <w:tcW w:type="dxa" w:w="3120"/>
            <w:tcMar>
              <w:top w:w="80" w:type="dxa"/>
              <w:bottom w:w="80" w:type="dxa"/>
              <w:left w:w="100" w:type="dxa"/>
              <w:right w:w="100" w:type="dxa"/>
            </w:tcMar>
            <w:shd w:fill="FFFFFF"/>
          </w:tcPr>
          <w:p>
            <w:r>
              <w:rPr>
                <w:sz w:val="19"/>
              </w:rPr>
              <w:t>TB-2: Agent Boundary</w:t>
            </w:r>
          </w:p>
        </w:tc>
        <w:tc>
          <w:tcPr>
            <w:tcW w:type="dxa" w:w="3120"/>
            <w:tcMar>
              <w:top w:w="80" w:type="dxa"/>
              <w:bottom w:w="80" w:type="dxa"/>
              <w:left w:w="100" w:type="dxa"/>
              <w:right w:w="100" w:type="dxa"/>
            </w:tcMar>
            <w:shd w:fill="FFFFFF"/>
          </w:tcPr>
          <w:p>
            <w:r>
              <w:rPr>
                <w:sz w:val="19"/>
              </w:rPr>
              <w:t>Web Gateway -&gt; AI Orchestrator Agent</w:t>
            </w:r>
          </w:p>
        </w:tc>
        <w:tc>
          <w:tcPr>
            <w:tcW w:type="dxa" w:w="3120"/>
            <w:tcMar>
              <w:top w:w="80" w:type="dxa"/>
              <w:bottom w:w="80" w:type="dxa"/>
              <w:left w:w="100" w:type="dxa"/>
              <w:right w:w="100" w:type="dxa"/>
            </w:tcMar>
            <w:shd w:fill="FFFFFF"/>
          </w:tcPr>
          <w:p>
            <w:r>
              <w:rPr>
                <w:sz w:val="19"/>
              </w:rPr>
              <w:t>JWT Claims Injection (agent_id, trust_tier), Dual-layer Pre-LLM Guardrails</w:t>
            </w:r>
          </w:p>
        </w:tc>
      </w:tr>
      <w:tr>
        <w:tc>
          <w:tcPr>
            <w:tcW w:type="dxa" w:w="3120"/>
            <w:tcMar>
              <w:top w:w="80" w:type="dxa"/>
              <w:bottom w:w="80" w:type="dxa"/>
              <w:left w:w="100" w:type="dxa"/>
              <w:right w:w="100" w:type="dxa"/>
            </w:tcMar>
            <w:shd w:fill="F8FAFC"/>
          </w:tcPr>
          <w:p>
            <w:r>
              <w:rPr>
                <w:sz w:val="19"/>
              </w:rPr>
              <w:t>TB-3: RAG Retrieval</w:t>
            </w:r>
          </w:p>
        </w:tc>
        <w:tc>
          <w:tcPr>
            <w:tcW w:type="dxa" w:w="3120"/>
            <w:tcMar>
              <w:top w:w="80" w:type="dxa"/>
              <w:bottom w:w="80" w:type="dxa"/>
              <w:left w:w="100" w:type="dxa"/>
              <w:right w:w="100" w:type="dxa"/>
            </w:tcMar>
            <w:shd w:fill="F8FAFC"/>
          </w:tcPr>
          <w:p>
            <w:r>
              <w:rPr>
                <w:sz w:val="19"/>
              </w:rPr>
              <w:t>AI Agent -&gt; Vector Database Store</w:t>
            </w:r>
          </w:p>
        </w:tc>
        <w:tc>
          <w:tcPr>
            <w:tcW w:type="dxa" w:w="3120"/>
            <w:tcMar>
              <w:top w:w="80" w:type="dxa"/>
              <w:bottom w:w="80" w:type="dxa"/>
              <w:left w:w="100" w:type="dxa"/>
              <w:right w:w="100" w:type="dxa"/>
            </w:tcMar>
            <w:shd w:fill="F8FAFC"/>
          </w:tcPr>
          <w:p>
            <w:r>
              <w:rPr>
                <w:sz w:val="19"/>
              </w:rPr>
              <w:t>Chunk Integrity Attestation, Metadata Provenance, Pre-Ingest Injection Scrubbing</w:t>
            </w:r>
          </w:p>
        </w:tc>
      </w:tr>
      <w:tr>
        <w:tc>
          <w:tcPr>
            <w:tcW w:type="dxa" w:w="3120"/>
            <w:tcMar>
              <w:top w:w="80" w:type="dxa"/>
              <w:bottom w:w="80" w:type="dxa"/>
              <w:left w:w="100" w:type="dxa"/>
              <w:right w:w="100" w:type="dxa"/>
            </w:tcMar>
            <w:shd w:fill="FFFFFF"/>
          </w:tcPr>
          <w:p>
            <w:r>
              <w:rPr>
                <w:sz w:val="19"/>
              </w:rPr>
              <w:t>TB-4: Inter-Agent RPC</w:t>
            </w:r>
          </w:p>
        </w:tc>
        <w:tc>
          <w:tcPr>
            <w:tcW w:type="dxa" w:w="3120"/>
            <w:tcMar>
              <w:top w:w="80" w:type="dxa"/>
              <w:bottom w:w="80" w:type="dxa"/>
              <w:left w:w="100" w:type="dxa"/>
              <w:right w:w="100" w:type="dxa"/>
            </w:tcMar>
            <w:shd w:fill="FFFFFF"/>
          </w:tcPr>
          <w:p>
            <w:r>
              <w:rPr>
                <w:sz w:val="19"/>
              </w:rPr>
              <w:t>Orchestrator Agent -&gt; MCP Privileged Tool Agent</w:t>
            </w:r>
          </w:p>
        </w:tc>
        <w:tc>
          <w:tcPr>
            <w:tcW w:type="dxa" w:w="3120"/>
            <w:tcMar>
              <w:top w:w="80" w:type="dxa"/>
              <w:bottom w:w="80" w:type="dxa"/>
              <w:left w:w="100" w:type="dxa"/>
              <w:right w:w="100" w:type="dxa"/>
            </w:tcMar>
            <w:shd w:fill="FFFFFF"/>
          </w:tcPr>
          <w:p>
            <w:r>
              <w:rPr>
                <w:sz w:val="19"/>
              </w:rPr>
              <w:t>Asymmetric Cryptographic Binding (Ed25519 Signatures), Re-authentication</w:t>
            </w:r>
          </w:p>
        </w:tc>
      </w:tr>
      <w:tr>
        <w:tc>
          <w:tcPr>
            <w:tcW w:type="dxa" w:w="3120"/>
            <w:tcMar>
              <w:top w:w="80" w:type="dxa"/>
              <w:bottom w:w="80" w:type="dxa"/>
              <w:left w:w="100" w:type="dxa"/>
              <w:right w:w="100" w:type="dxa"/>
            </w:tcMar>
            <w:shd w:fill="F8FAFC"/>
          </w:tcPr>
          <w:p>
            <w:r>
              <w:rPr>
                <w:sz w:val="19"/>
              </w:rPr>
              <w:t>TB-5: Backend API</w:t>
            </w:r>
          </w:p>
        </w:tc>
        <w:tc>
          <w:tcPr>
            <w:tcW w:type="dxa" w:w="3120"/>
            <w:tcMar>
              <w:top w:w="80" w:type="dxa"/>
              <w:bottom w:w="80" w:type="dxa"/>
              <w:left w:w="100" w:type="dxa"/>
              <w:right w:w="100" w:type="dxa"/>
            </w:tcMar>
            <w:shd w:fill="F8FAFC"/>
          </w:tcPr>
          <w:p>
            <w:r>
              <w:rPr>
                <w:sz w:val="19"/>
              </w:rPr>
              <w:t>MCP Worker -&gt; Internal REST APIs / Database</w:t>
            </w:r>
          </w:p>
        </w:tc>
        <w:tc>
          <w:tcPr>
            <w:tcW w:type="dxa" w:w="3120"/>
            <w:tcMar>
              <w:top w:w="80" w:type="dxa"/>
              <w:bottom w:w="80" w:type="dxa"/>
              <w:left w:w="100" w:type="dxa"/>
              <w:right w:w="100" w:type="dxa"/>
            </w:tcMar>
            <w:shd w:fill="F8FAFC"/>
          </w:tcPr>
          <w:p>
            <w:r>
              <w:rPr>
                <w:sz w:val="19"/>
              </w:rPr>
              <w:t>M2M Client Credentials (TTL &lt;= 300s), Granular Scopes (read:ai-data, billing:write)</w:t>
            </w:r>
          </w:p>
        </w:tc>
      </w:tr>
    </w:tbl>
    <w:p>
      <w:pPr>
        <w:pStyle w:val="Heading1"/>
        <w:spacing w:before="360" w:after="160"/>
      </w:pPr>
      <w:r>
        <w:rPr>
          <w:color w:val="10366E"/>
          <w:sz w:val="32"/>
        </w:rPr>
        <w:t>4. Governance Roles &amp; Responsibilities Matrix</w:t>
      </w:r>
    </w:p>
    <w:p>
      <w:r>
        <w:t>Identity governance across SecureNova AI workloads is governed by the following RACI framework:</w:t>
        <w:b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0366E"/>
          </w:tcPr>
          <w:p>
            <w:r>
              <w:rPr>
                <w:b/>
                <w:color w:val="FFFFFF"/>
              </w:rPr>
              <w:t>Role / Title</w:t>
            </w:r>
          </w:p>
        </w:tc>
        <w:tc>
          <w:tcPr>
            <w:tcW w:type="dxa" w:w="3120"/>
            <w:tcMar>
              <w:top w:w="80" w:type="dxa"/>
              <w:bottom w:w="80" w:type="dxa"/>
              <w:left w:w="100" w:type="dxa"/>
              <w:right w:w="100" w:type="dxa"/>
            </w:tcMar>
            <w:shd w:fill="10366E"/>
          </w:tcPr>
          <w:p>
            <w:r>
              <w:rPr>
                <w:b/>
                <w:color w:val="FFFFFF"/>
              </w:rPr>
              <w:t>Key Responsibilities</w:t>
            </w:r>
          </w:p>
        </w:tc>
        <w:tc>
          <w:tcPr>
            <w:tcW w:type="dxa" w:w="3120"/>
            <w:tcMar>
              <w:top w:w="80" w:type="dxa"/>
              <w:bottom w:w="80" w:type="dxa"/>
              <w:left w:w="100" w:type="dxa"/>
              <w:right w:w="100" w:type="dxa"/>
            </w:tcMar>
            <w:shd w:fill="10366E"/>
          </w:tcPr>
          <w:p>
            <w:r>
              <w:rPr>
                <w:b/>
                <w:color w:val="FFFFFF"/>
              </w:rPr>
              <w:t>Assigned Lifecycle Authority</w:t>
            </w:r>
          </w:p>
        </w:tc>
      </w:tr>
      <w:tr>
        <w:tc>
          <w:tcPr>
            <w:tcW w:type="dxa" w:w="3120"/>
            <w:tcMar>
              <w:top w:w="80" w:type="dxa"/>
              <w:bottom w:w="80" w:type="dxa"/>
              <w:left w:w="100" w:type="dxa"/>
              <w:right w:w="100" w:type="dxa"/>
            </w:tcMar>
            <w:shd w:fill="F8FAFC"/>
          </w:tcPr>
          <w:p>
            <w:r>
              <w:rPr>
                <w:sz w:val="19"/>
              </w:rPr>
              <w:t>Chief Information Security Officer (CISO)</w:t>
            </w:r>
          </w:p>
        </w:tc>
        <w:tc>
          <w:tcPr>
            <w:tcW w:type="dxa" w:w="3120"/>
            <w:tcMar>
              <w:top w:w="80" w:type="dxa"/>
              <w:bottom w:w="80" w:type="dxa"/>
              <w:left w:w="100" w:type="dxa"/>
              <w:right w:w="100" w:type="dxa"/>
            </w:tcMar>
            <w:shd w:fill="F8FAFC"/>
          </w:tcPr>
          <w:p>
            <w:r>
              <w:rPr>
                <w:sz w:val="19"/>
              </w:rPr>
              <w:t>Executive policy approval, exception governance, incident sign-off</w:t>
            </w:r>
          </w:p>
        </w:tc>
        <w:tc>
          <w:tcPr>
            <w:tcW w:type="dxa" w:w="3120"/>
            <w:tcMar>
              <w:top w:w="80" w:type="dxa"/>
              <w:bottom w:w="80" w:type="dxa"/>
              <w:left w:w="100" w:type="dxa"/>
              <w:right w:w="100" w:type="dxa"/>
            </w:tcMar>
            <w:shd w:fill="F8FAFC"/>
          </w:tcPr>
          <w:p>
            <w:r>
              <w:rPr>
                <w:sz w:val="19"/>
              </w:rPr>
              <w:t>Final Policy &amp; Exception Authority</w:t>
            </w:r>
          </w:p>
        </w:tc>
      </w:tr>
      <w:tr>
        <w:tc>
          <w:tcPr>
            <w:tcW w:type="dxa" w:w="3120"/>
            <w:tcMar>
              <w:top w:w="80" w:type="dxa"/>
              <w:bottom w:w="80" w:type="dxa"/>
              <w:left w:w="100" w:type="dxa"/>
              <w:right w:w="100" w:type="dxa"/>
            </w:tcMar>
            <w:shd w:fill="FFFFFF"/>
          </w:tcPr>
          <w:p>
            <w:r>
              <w:rPr>
                <w:sz w:val="19"/>
              </w:rPr>
              <w:t>AI Identity Security Lead</w:t>
            </w:r>
          </w:p>
        </w:tc>
        <w:tc>
          <w:tcPr>
            <w:tcW w:type="dxa" w:w="3120"/>
            <w:tcMar>
              <w:top w:w="80" w:type="dxa"/>
              <w:bottom w:w="80" w:type="dxa"/>
              <w:left w:w="100" w:type="dxa"/>
              <w:right w:w="100" w:type="dxa"/>
            </w:tcMar>
            <w:shd w:fill="FFFFFF"/>
          </w:tcPr>
          <w:p>
            <w:r>
              <w:rPr>
                <w:sz w:val="19"/>
              </w:rPr>
              <w:t>Threat modeling, red-team/blue-team assessment, policy enforcement</w:t>
            </w:r>
          </w:p>
        </w:tc>
        <w:tc>
          <w:tcPr>
            <w:tcW w:type="dxa" w:w="3120"/>
            <w:tcMar>
              <w:top w:w="80" w:type="dxa"/>
              <w:bottom w:w="80" w:type="dxa"/>
              <w:left w:w="100" w:type="dxa"/>
              <w:right w:w="100" w:type="dxa"/>
            </w:tcMar>
            <w:shd w:fill="FFFFFF"/>
          </w:tcPr>
          <w:p>
            <w:r>
              <w:rPr>
                <w:sz w:val="19"/>
              </w:rPr>
              <w:t>Operational IAM &amp; Guardrail Owner</w:t>
            </w:r>
          </w:p>
        </w:tc>
      </w:tr>
      <w:tr>
        <w:tc>
          <w:tcPr>
            <w:tcW w:type="dxa" w:w="3120"/>
            <w:tcMar>
              <w:top w:w="80" w:type="dxa"/>
              <w:bottom w:w="80" w:type="dxa"/>
              <w:left w:w="100" w:type="dxa"/>
              <w:right w:w="100" w:type="dxa"/>
            </w:tcMar>
            <w:shd w:fill="F8FAFC"/>
          </w:tcPr>
          <w:p>
            <w:r>
              <w:rPr>
                <w:sz w:val="19"/>
              </w:rPr>
              <w:t>Auth0 / IAM Administrator</w:t>
            </w:r>
          </w:p>
        </w:tc>
        <w:tc>
          <w:tcPr>
            <w:tcW w:type="dxa" w:w="3120"/>
            <w:tcMar>
              <w:top w:w="80" w:type="dxa"/>
              <w:bottom w:w="80" w:type="dxa"/>
              <w:left w:w="100" w:type="dxa"/>
              <w:right w:w="100" w:type="dxa"/>
            </w:tcMar>
            <w:shd w:fill="F8FAFC"/>
          </w:tcPr>
          <w:p>
            <w:r>
              <w:rPr>
                <w:sz w:val="19"/>
              </w:rPr>
              <w:t>Tenant configuration, M2M client registration, claim actions, rotation</w:t>
            </w:r>
          </w:p>
        </w:tc>
        <w:tc>
          <w:tcPr>
            <w:tcW w:type="dxa" w:w="3120"/>
            <w:tcMar>
              <w:top w:w="80" w:type="dxa"/>
              <w:bottom w:w="80" w:type="dxa"/>
              <w:left w:w="100" w:type="dxa"/>
              <w:right w:w="100" w:type="dxa"/>
            </w:tcMar>
            <w:shd w:fill="F8FAFC"/>
          </w:tcPr>
          <w:p>
            <w:r>
              <w:rPr>
                <w:sz w:val="19"/>
              </w:rPr>
              <w:t>Credential &amp; Identity Provisioner</w:t>
            </w:r>
          </w:p>
        </w:tc>
      </w:tr>
      <w:tr>
        <w:tc>
          <w:tcPr>
            <w:tcW w:type="dxa" w:w="3120"/>
            <w:tcMar>
              <w:top w:w="80" w:type="dxa"/>
              <w:bottom w:w="80" w:type="dxa"/>
              <w:left w:w="100" w:type="dxa"/>
              <w:right w:w="100" w:type="dxa"/>
            </w:tcMar>
            <w:shd w:fill="FFFFFF"/>
          </w:tcPr>
          <w:p>
            <w:r>
              <w:rPr>
                <w:sz w:val="19"/>
              </w:rPr>
              <w:t>AI Platform Engineering Lead</w:t>
            </w:r>
          </w:p>
        </w:tc>
        <w:tc>
          <w:tcPr>
            <w:tcW w:type="dxa" w:w="3120"/>
            <w:tcMar>
              <w:top w:w="80" w:type="dxa"/>
              <w:bottom w:w="80" w:type="dxa"/>
              <w:left w:w="100" w:type="dxa"/>
              <w:right w:w="100" w:type="dxa"/>
            </w:tcMar>
            <w:shd w:fill="FFFFFF"/>
          </w:tcPr>
          <w:p>
            <w:r>
              <w:rPr>
                <w:sz w:val="19"/>
              </w:rPr>
              <w:t>Agent runtime deployment, MCP server integrations, RAG pipelines</w:t>
            </w:r>
          </w:p>
        </w:tc>
        <w:tc>
          <w:tcPr>
            <w:tcW w:type="dxa" w:w="3120"/>
            <w:tcMar>
              <w:top w:w="80" w:type="dxa"/>
              <w:bottom w:w="80" w:type="dxa"/>
              <w:left w:w="100" w:type="dxa"/>
              <w:right w:w="100" w:type="dxa"/>
            </w:tcMar>
            <w:shd w:fill="FFFFFF"/>
          </w:tcPr>
          <w:p>
            <w:r>
              <w:rPr>
                <w:sz w:val="19"/>
              </w:rPr>
              <w:t>Agent Architecture Owner</w:t>
            </w:r>
          </w:p>
        </w:tc>
      </w:tr>
      <w:tr>
        <w:tc>
          <w:tcPr>
            <w:tcW w:type="dxa" w:w="3120"/>
            <w:tcMar>
              <w:top w:w="80" w:type="dxa"/>
              <w:bottom w:w="80" w:type="dxa"/>
              <w:left w:w="100" w:type="dxa"/>
              <w:right w:w="100" w:type="dxa"/>
            </w:tcMar>
            <w:shd w:fill="F8FAFC"/>
          </w:tcPr>
          <w:p>
            <w:r>
              <w:rPr>
                <w:sz w:val="19"/>
              </w:rPr>
              <w:t>Security Operations Center (SOC)</w:t>
            </w:r>
          </w:p>
        </w:tc>
        <w:tc>
          <w:tcPr>
            <w:tcW w:type="dxa" w:w="3120"/>
            <w:tcMar>
              <w:top w:w="80" w:type="dxa"/>
              <w:bottom w:w="80" w:type="dxa"/>
              <w:left w:w="100" w:type="dxa"/>
              <w:right w:w="100" w:type="dxa"/>
            </w:tcMar>
            <w:shd w:fill="F8FAFC"/>
          </w:tcPr>
          <w:p>
            <w:r>
              <w:rPr>
                <w:sz w:val="19"/>
              </w:rPr>
              <w:t>24/7 SIEM monitoring, anomaly triage, emergency token revocation</w:t>
            </w:r>
          </w:p>
        </w:tc>
        <w:tc>
          <w:tcPr>
            <w:tcW w:type="dxa" w:w="3120"/>
            <w:tcMar>
              <w:top w:w="80" w:type="dxa"/>
              <w:bottom w:w="80" w:type="dxa"/>
              <w:left w:w="100" w:type="dxa"/>
              <w:right w:w="100" w:type="dxa"/>
            </w:tcMar>
            <w:shd w:fill="F8FAFC"/>
          </w:tcPr>
          <w:p>
            <w:r>
              <w:rPr>
                <w:sz w:val="19"/>
              </w:rPr>
              <w:t>Incident Detection &amp; Containment</w:t>
            </w:r>
          </w:p>
        </w:tc>
      </w:tr>
    </w:tbl>
    <w:p>
      <w:r>
        <w:br w:type="page"/>
      </w:r>
    </w:p>
    <w:p>
      <w:pPr>
        <w:pStyle w:val="Heading1"/>
        <w:spacing w:before="360" w:after="160"/>
      </w:pPr>
      <w:r>
        <w:rPr>
          <w:color w:val="10366E"/>
          <w:sz w:val="32"/>
        </w:rPr>
        <w:t>5. SECTION 1 — AI IDENTITY LIFECYCLE MANAGEMENT</w:t>
      </w:r>
    </w:p>
    <w:p>
      <w:pPr>
        <w:pStyle w:val="Heading2"/>
        <w:spacing w:before="280" w:after="120"/>
      </w:pPr>
      <w:r>
        <w:rPr>
          <w:color w:val="18508C"/>
          <w:sz w:val="26"/>
        </w:rPr>
        <w:t>5.1 Non-Human Identity (NHI) Provisioning &amp; Approval Matrix</w:t>
      </w:r>
    </w:p>
    <w:p>
      <w:r>
        <w:t>1. Mandatory Registration: Every AI agent orchestrator, sub-agent, tool worker, and RAG ingestion service must be provisioned as a unique Non-Human Identity (NHI) registered within Auth0 as a distinct Client Application (Single Page App or Machine-to-Machine).</w:t>
        <w:br/>
        <w:t>2. Explicit Identification: Generic or shared service accounts are strictly prohibited. Each NHI must possess a unique identifier formatted as nhi:securenova:agent:&lt;subsystem&gt;:&lt;uuid&gt;.</w:t>
        <w:br/>
        <w:t>3. Approval Workflow: Before deployment into production, an AI Identity Provisioning Request must be submitted and approved by:</w:t>
        <w:br/>
        <w:t xml:space="preserve">   - The AI Platform Engineering Lead (validating architectural necessity and tool bindings),</w:t>
        <w:br/>
        <w:t xml:space="preserve">   - The IAM / Auth0 Administrator (validating OAuth scopes and claim rules), and</w:t>
        <w:br/>
        <w:t xml:space="preserve">   - The AI Identity Security Lead (validating threat model and guardrail coverage).</w:t>
        <w:br/>
        <w:t>4. Minimum Lead Time: Provisioning requests require a minimum 5 business days evaluation window.</w:t>
      </w:r>
    </w:p>
    <w:p>
      <w:pPr>
        <w:pStyle w:val="Heading2"/>
        <w:spacing w:before="280" w:after="120"/>
      </w:pPr>
      <w:r>
        <w:rPr>
          <w:color w:val="18508C"/>
          <w:sz w:val="26"/>
        </w:rPr>
        <w:t>5.2 Mandatory 90-Day Access Review Cycle</w:t>
      </w:r>
    </w:p>
    <w:p>
      <w:r>
        <w:t>1. Review Cadence: All provisioned AI agent identities, assigned OAuth scopes, tool permissions, and API key bindings must undergo a formal, documented Access Certification Review every 90 calendar days.</w:t>
        <w:br/>
        <w:t>2. Automated Stale Permission Auditing: The IAM system shall automatically generate a 90-day activity delta report identifying any assigned scopes or MCP tools unused for more than 30 consecutive days.</w:t>
        <w:br/>
        <w:t>3. Revocation of Unused Permissions: Unused scopes must be pruned within 5 business days of review completion.</w:t>
        <w:br/>
        <w:t>4. Re-Certification Sign-off: The AI Identity Security Lead and IAM Administrator must sign off on the 90-day certification report. Uncertified identities are automatically flagged for suspension.</w:t>
      </w:r>
    </w:p>
    <w:p>
      <w:pPr>
        <w:pStyle w:val="Heading2"/>
        <w:spacing w:before="280" w:after="120"/>
      </w:pPr>
      <w:r>
        <w:rPr>
          <w:color w:val="18508C"/>
          <w:sz w:val="26"/>
        </w:rPr>
        <w:t>5.3 Continuous Telemetry &amp; Runtime Monitoring</w:t>
      </w:r>
    </w:p>
    <w:p>
      <w:r>
        <w:t>1. Mandatory Telemetry: All agent invocations, prompt inputs, guardrail block events, tool executions, and token issuance events must emit structured JSON logs to the centralized SIEM within &lt;= 2 seconds of event occurrence.</w:t>
        <w:br/>
        <w:t>2. Telemetry Schema: Telemetry records must contain: timestamp_utc, event_id, agent_id, caller_identity, requested_tool, action_verdict (ALLOW/BLOCK), violation_reason, mitre_atlas_id, and trace_token_hash.</w:t>
        <w:br/>
        <w:t>3. Real-Time Anomaly Baselines: Detection engines must continuously monitor for:</w:t>
        <w:br/>
        <w:t xml:space="preserve">   - Call Volume Spikes: More than 20 requests within a 60-second window triggers an immediate alert.</w:t>
        <w:br/>
        <w:t xml:space="preserve">   - Scope Jumps: Any agent attempting to call an API outside its registered scope is instantly blocked.</w:t>
        <w:br/>
        <w:t xml:space="preserve">   - Token Replay: Expired or invalidated tokens replayed against endpoints trigger a P1 Security Alert.</w:t>
      </w:r>
    </w:p>
    <w:p>
      <w:pPr>
        <w:pStyle w:val="Heading2"/>
        <w:spacing w:before="280" w:after="120"/>
      </w:pPr>
      <w:r>
        <w:rPr>
          <w:color w:val="18508C"/>
          <w:sz w:val="26"/>
        </w:rPr>
        <w:t>5.4 Cryptographic Key Rotation &amp; Token Lifecycles</w:t>
      </w:r>
    </w:p>
    <w:p>
      <w:r>
        <w:t>1. Asymmetric Ed25519 Signing Keys: Private/public key pairs used for inter-agent message attestation must be rotated automatically every 30 calendar days.</w:t>
        <w:br/>
        <w:t>2. Model Provider API Keys: Maximum lifetime of 90 calendar days (enforced via automated secret rotation pipelines).</w:t>
        <w:br/>
        <w:t>3. Machine-to-Machine (M2M) Tokens: Maximum Time-To-Live (TTL) of 300 seconds (5 minutes).</w:t>
        <w:br/>
        <w:t>4. User Access Tokens: Maximum TTL of 600 seconds with Refresh Token Rotation enabled (0-second reuse grace window).</w:t>
      </w:r>
    </w:p>
    <w:p>
      <w:pPr>
        <w:pStyle w:val="Heading2"/>
        <w:spacing w:before="280" w:after="120"/>
      </w:pPr>
      <w:r>
        <w:rPr>
          <w:color w:val="18508C"/>
          <w:sz w:val="26"/>
        </w:rPr>
        <w:t>5.5 Automated Identity Suspension &amp; Quarantine</w:t>
      </w:r>
    </w:p>
    <w:p>
      <w:r>
        <w:t>1. Automated Trigger Criteria: An agent identity shall be immediately suspended by automated IAM security orchestration if any of the following occur:</w:t>
        <w:br/>
        <w:t xml:space="preserve">   - 3 or more consecutive input/output guardrail violations within 60 seconds,</w:t>
        <w:br/>
        <w:t xml:space="preserve">   - A failed cryptographic signature validation (SIGNATURE_VERIFICATION_FAILED) on inter-agent RPC,</w:t>
        <w:br/>
        <w:t xml:space="preserve">   - Attempted invocation of unassigned high-privilege tools (e.g., issue_billing_refund without billing:write), or</w:t>
        <w:br/>
        <w:t xml:space="preserve">   - Detected token replay or refresh token reuse.</w:t>
        <w:br/>
        <w:t>2. Suspension Execution SLA: Automated suspension of the agent Auth0 Client and invalidation of active session tokens must execute within &lt;= 60 seconds of trigger.</w:t>
        <w:br/>
        <w:t>3. Quarantine State: Suspended agents transition to QUARANTINE_LOCKED status. All incoming prompts return generic maintenance errors. Sub-agent tool dispatching is halted.</w:t>
      </w:r>
    </w:p>
    <w:p>
      <w:pPr>
        <w:pStyle w:val="Heading2"/>
        <w:spacing w:before="280" w:after="120"/>
      </w:pPr>
      <w:r>
        <w:rPr>
          <w:color w:val="18508C"/>
          <w:sz w:val="26"/>
        </w:rPr>
        <w:t>5.6 Permanent Decommissioning &amp; Audit Trail Retention</w:t>
      </w:r>
    </w:p>
    <w:p>
      <w:r>
        <w:t>1. Decommissioning Criteria: An AI identity is formally decommissioned upon service deprecation, project sunset, or irrecoverable compromise.</w:t>
        <w:br/>
        <w:t>2. Decommissioning Steps:</w:t>
        <w:br/>
        <w:t xml:space="preserve">   - Step 1: Revoke all Auth0 client credentials and API keys in Key Vault within 1 hour.</w:t>
        <w:br/>
        <w:t xml:space="preserve">   - Step 2: Delete Ed25519 public/private keys from Key Management Service.</w:t>
        <w:br/>
        <w:t xml:space="preserve">   - Step 3: Purge agent context cache and associated RAG knowledge partitions.</w:t>
        <w:br/>
        <w:t xml:space="preserve">   - Step 4: Archive agent audit logs to cold, immutable WORM (Write Once Read Many) storage.</w:t>
        <w:br/>
        <w:t>3. Log Retention Period: All telemetry, authentication logs, and incident records must be retained for a mandatory minimum of 365 calendar days (1 year) for compliance audits.</w:t>
      </w:r>
    </w:p>
    <w:p>
      <w:r>
        <w:br w:type="page"/>
      </w:r>
    </w:p>
    <w:p>
      <w:pPr>
        <w:pStyle w:val="Heading1"/>
        <w:spacing w:before="360" w:after="160"/>
      </w:pPr>
      <w:r>
        <w:rPr>
          <w:color w:val="10366E"/>
          <w:sz w:val="32"/>
        </w:rPr>
        <w:t>6. SECTION 2 — CREDENTIAL GOVERNANCE &amp; SECRETS MANAGEMENT</w:t>
      </w:r>
    </w:p>
    <w:p>
      <w:pPr>
        <w:pStyle w:val="Heading2"/>
        <w:spacing w:before="280" w:after="120"/>
      </w:pPr>
      <w:r>
        <w:rPr>
          <w:color w:val="18508C"/>
          <w:sz w:val="26"/>
        </w:rPr>
        <w:t>6.1 Prohibition of Long-Lived Agent Credentials</w:t>
      </w:r>
    </w:p>
    <w:p>
      <w:r>
        <w:t>1. Absolute Prohibition: Standing, long-lived API keys, static service passwords, or indefinite JWT bearer tokens are strictly prohibited within AI agent runtime environments, prompt contexts, source code repositories, and configuration files.</w:t>
        <w:br/>
        <w:t>2. In-Prompt Secret Prohibition: Under no circumstances shall an API key, database connection string, or Auth0 client secret be embedded into a system prompt, RAG knowledge chunk, tool description, or LLM memory context.</w:t>
        <w:br/>
        <w:t>3. Automated Repository &amp; Context Scanning: All code commits and RAG ingest files must pass pre-commit / pre-ingest regex scanning to ensure zero credentials exist in plaintext.</w:t>
      </w:r>
    </w:p>
    <w:p>
      <w:pPr>
        <w:pStyle w:val="Heading2"/>
        <w:spacing w:before="280" w:after="120"/>
      </w:pPr>
      <w:r>
        <w:rPr>
          <w:color w:val="18508C"/>
          <w:sz w:val="26"/>
        </w:rPr>
        <w:t>6.2 Centralized Vault &amp; Key Management Service (KMS) Architecture</w:t>
      </w:r>
    </w:p>
    <w:p>
      <w:r>
        <w:t>1. Secrets Manager Storage: All third-party LLM provider keys (e.g., Anthropic, OpenAI, Google) and Auth0 M2M client secrets must be stored exclusively in enterprise-managed Key Vaults (AWS Secrets Manager / HashiCorp Vault / Azure Key Vault) encrypted with KMS customer-managed keys (AES-256-GCM).</w:t>
        <w:br/>
        <w:t>2. Ephemeral Just-In-Time Fetch: Agents must retrieve credentials ephemerally in memory at execution time via secure IAM role-based authentication without storing secrets to local disk.</w:t>
        <w:br/>
        <w:t>3. Hardware Security Module (HSM) Backing: Root cryptographic keys for Ed25519 agent binding must be generated and stored in FIPS 140-2 Level 3 compliant HSMs.</w:t>
      </w:r>
    </w:p>
    <w:p>
      <w:pPr>
        <w:pStyle w:val="Heading2"/>
        <w:spacing w:before="280" w:after="120"/>
      </w:pPr>
      <w:r>
        <w:rPr>
          <w:color w:val="18508C"/>
          <w:sz w:val="26"/>
        </w:rPr>
        <w:t>6.3 Mandatory Maximum 90-Day API Key Rotation Protocol</w:t>
      </w:r>
    </w:p>
    <w:p>
      <w:r>
        <w:t>1. Maximum Rotation Ceiling: All external LLM provider API keys, database credentials, and Auth0 application secrets must be rotated at least once every 90 calendar days.</w:t>
        <w:br/>
        <w:t>2. Automated Rotation Engine: Key rotation must be executed via automated serverless rotation pipelines (credential_rotation.py) following a zero-downtime dual-key rotation pattern:</w:t>
        <w:br/>
        <w:t xml:space="preserve">   - Phase 1: Generate secondary key in provider portal / KMS.</w:t>
        <w:br/>
        <w:t xml:space="preserve">   - Phase 2: Update Key Vault secret reference and notify running agent nodes.</w:t>
        <w:br/>
        <w:t xml:space="preserve">   - Phase 3: Verify new key functionality with test health-check call (200 OK).</w:t>
        <w:br/>
        <w:t xml:space="preserve">   - Phase 4: Deprecate and destroy primary key within 24 hours.</w:t>
        <w:br/>
        <w:t>3. Stale Key Expiry Verification: System must verify that calls using the deprecated key return HTTP 401 Unauthorized.</w:t>
      </w:r>
    </w:p>
    <w:p>
      <w:pPr>
        <w:pStyle w:val="Heading2"/>
        <w:spacing w:before="280" w:after="120"/>
      </w:pPr>
      <w:r>
        <w:rPr>
          <w:color w:val="18508C"/>
          <w:sz w:val="26"/>
        </w:rPr>
        <w:t>6.4 Short-Lived OAuth 2.0 M2M Tokens (TTL &lt;= 300s)</w:t>
      </w:r>
    </w:p>
    <w:p>
      <w:r>
        <w:t>1. Machine-to-Machine Token Lifespan: All OAuth 2.0 Client Credentials tokens issued by Auth0 for inter-service communication (Agent -&gt; REST API, Agent -&gt; MCP Server) shall have a maximum lifespan of 300 seconds (5 minutes).</w:t>
        <w:br/>
        <w:t>2. Refresh Token Rotation (RTR): Where refresh tokens are utilized for delegated user sessions, Refresh Token Rotation must be strictly enabled with:</w:t>
        <w:br/>
        <w:t xml:space="preserve">   - Absolute token expiration: 28,800 seconds (8 hours),</w:t>
        <w:br/>
        <w:t xml:space="preserve">   - Inactivity token expiration: 1,800 seconds (30 minutes),</w:t>
        <w:br/>
        <w:t xml:space="preserve">   - Reuse detection grace interval: 0 seconds (Immediate revocation of all downstream tokens upon replay).</w:t>
      </w:r>
    </w:p>
    <w:p>
      <w:pPr>
        <w:pStyle w:val="Heading2"/>
        <w:spacing w:before="280" w:after="120"/>
      </w:pPr>
      <w:r>
        <w:rPr>
          <w:color w:val="18508C"/>
          <w:sz w:val="26"/>
        </w:rPr>
        <w:t>6.5 Principle of Least Privilege &amp; Scope Enforcement</w:t>
      </w:r>
    </w:p>
    <w:p>
      <w:r>
        <w:t>1. Granular Scope Design: Tokens issued to agents must contain the minimum necessary scopes required for the immediate task.</w:t>
        <w:br/>
        <w:t xml:space="preserve">   - Customer Service Agent: read:ai-data, tickets:read, tickets:create.</w:t>
        <w:br/>
        <w:t xml:space="preserve">   - Privileged Worker Agent: billing:write, refund:execute (Requires Step-Up Authorization).</w:t>
        <w:br/>
        <w:t>2. Scope Compartmentalization: No single agent token may possess both broad read access across customer tenants and administrative write permissions.</w:t>
        <w:br/>
        <w:t>3. Contextual Auth0 Actions: Auth0 Post-Login and Pre-User-Registration Actions must dynamically inject custom identity claims (https://securenova.ai/agent_id, trust_tier, allowed_tools) to constrain agent authorization boundaries.</w:t>
      </w:r>
    </w:p>
    <w:p>
      <w:pPr>
        <w:pStyle w:val="Heading2"/>
        <w:spacing w:before="280" w:after="120"/>
      </w:pPr>
      <w:r>
        <w:rPr>
          <w:color w:val="18508C"/>
          <w:sz w:val="26"/>
        </w:rPr>
        <w:t>6.6 Emergency Credential Revocation &amp; Break-Glass Workflow</w:t>
      </w:r>
    </w:p>
    <w:p>
      <w:r>
        <w:t>1. Emergency Response SLA: In the event of suspected secret exposure, emergency credential revocation and rotation must be executed within &lt;= 15 minutes of alert triage.</w:t>
        <w:br/>
        <w:t>2. Break-Glass Procedure: The Incident Commander or On-Call Security Engineer can execute the automated break-glass CLI:</w:t>
        <w:br/>
        <w:t xml:space="preserve">   securenova-iam-cli rotate --emergency --agent-id &lt;agent_id&gt; --force-revoke-all-sessions</w:t>
        <w:br/>
        <w:t>3. Post-Revocation Invalidation: Invalidation signals must propagate across all edge gateways and active agent caches within &lt;= 500 milliseconds.</w:t>
      </w:r>
    </w:p>
    <w:p>
      <w:r>
        <w:br w:type="page"/>
      </w:r>
    </w:p>
    <w:p>
      <w:pPr>
        <w:pStyle w:val="Heading1"/>
        <w:spacing w:before="360" w:after="160"/>
      </w:pPr>
      <w:r>
        <w:rPr>
          <w:color w:val="10366E"/>
          <w:sz w:val="32"/>
        </w:rPr>
        <w:t>7. SECTION 3 — INCIDENT RESPONSE PLAYBOOK</w:t>
      </w:r>
    </w:p>
    <w:p>
      <w:r>
        <w:t>This section establishes operational, step-by-step incident response procedures for the three primary AI identity threat scenarios at SecureNova Inc. Each scenario defines detection signals, triage, containment, evidence preservation, escalation, eradication, recovery, and post-incident requirements.</w:t>
      </w:r>
    </w:p>
    <w:p>
      <w:pPr>
        <w:pStyle w:val="Heading2"/>
        <w:spacing w:before="280" w:after="120"/>
      </w:pPr>
      <w:r>
        <w:rPr>
          <w:color w:val="18508C"/>
          <w:sz w:val="26"/>
        </w:rPr>
        <w:t>7.1 Incident Scenario A: Leaked LLM API Key</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00" w:type="dxa"/>
              <w:right w:w="100" w:type="dxa"/>
            </w:tcMar>
          </w:tcPr>
          <w:p>
            <w:r>
              <w:rPr>
                <w:b/>
                <w:color w:val="10366E"/>
                <w:sz w:val="19"/>
              </w:rPr>
              <w:t>1. Detection Signals</w:t>
            </w:r>
          </w:p>
        </w:tc>
        <w:tc>
          <w:tcPr>
            <w:tcW w:type="dxa" w:w="6192"/>
            <w:shd w:fill="FFFFFF"/>
            <w:tcMar>
              <w:top w:w="80" w:type="dxa"/>
              <w:bottom w:w="80" w:type="dxa"/>
              <w:left w:w="100" w:type="dxa"/>
              <w:right w:w="100" w:type="dxa"/>
            </w:tcMar>
          </w:tcPr>
          <w:p>
            <w:r>
              <w:rPr>
                <w:sz w:val="19"/>
              </w:rPr>
              <w:t>- Secret scanning alert from GitHub Advanced Security / GitGuardian indicating public repository commit.</w:t>
              <w:br/>
              <w:t>- SIEM alert indicating anomalous API call volume (&gt;10x baseline) or calls originating from unexpected geographic IP ranges.</w:t>
              <w:br/>
              <w:t>- Output guardrail regex scanner detecting API key pattern (sk-ant-api03-... or sk-proj-...) in model egress response.</w:t>
              <w:br/>
              <w:t>- LLM provider automated billing / quota spike warning.</w:t>
            </w:r>
          </w:p>
        </w:tc>
      </w:tr>
      <w:tr>
        <w:tc>
          <w:tcPr>
            <w:tcW w:type="dxa" w:w="3168"/>
            <w:shd w:fill="F0F4F8"/>
            <w:tcMar>
              <w:top w:w="80" w:type="dxa"/>
              <w:bottom w:w="80" w:type="dxa"/>
              <w:left w:w="100" w:type="dxa"/>
              <w:right w:w="100" w:type="dxa"/>
            </w:tcMar>
          </w:tcPr>
          <w:p>
            <w:r>
              <w:rPr>
                <w:b/>
                <w:color w:val="10366E"/>
                <w:sz w:val="19"/>
              </w:rPr>
              <w:t>2. Initial Triage (0 - 15 Mins)</w:t>
            </w:r>
          </w:p>
        </w:tc>
        <w:tc>
          <w:tcPr>
            <w:tcW w:type="dxa" w:w="6192"/>
            <w:shd w:fill="FFFFFF"/>
            <w:tcMar>
              <w:top w:w="80" w:type="dxa"/>
              <w:bottom w:w="80" w:type="dxa"/>
              <w:left w:w="100" w:type="dxa"/>
              <w:right w:w="100" w:type="dxa"/>
            </w:tcMar>
          </w:tcPr>
          <w:p>
            <w:r>
              <w:rPr>
                <w:sz w:val="19"/>
              </w:rPr>
              <w:t>- On-Call Security Engineer verifies the alert authenticity and identifies the exposed Key ID / Provider.</w:t>
              <w:br/>
              <w:t>- Determine exposure blast radius: check whether the key is associated with Production, Staging, or Development environments.</w:t>
              <w:br/>
              <w:t>- Verify if unauthorized LLM completions or data extraction occurred in provider request logs.</w:t>
              <w:br/>
              <w:t>- Assign Incident Severity Level: P1 (Critical) for Production keys, P2 (High) for Staging.</w:t>
            </w:r>
          </w:p>
        </w:tc>
      </w:tr>
      <w:tr>
        <w:tc>
          <w:tcPr>
            <w:tcW w:type="dxa" w:w="3168"/>
            <w:shd w:fill="F0F4F8"/>
            <w:tcMar>
              <w:top w:w="80" w:type="dxa"/>
              <w:bottom w:w="80" w:type="dxa"/>
              <w:left w:w="100" w:type="dxa"/>
              <w:right w:w="100" w:type="dxa"/>
            </w:tcMar>
          </w:tcPr>
          <w:p>
            <w:r>
              <w:rPr>
                <w:b/>
                <w:color w:val="10366E"/>
                <w:sz w:val="19"/>
              </w:rPr>
              <w:t>3. Containment (15 - 30 Mins)</w:t>
            </w:r>
          </w:p>
        </w:tc>
        <w:tc>
          <w:tcPr>
            <w:tcW w:type="dxa" w:w="6192"/>
            <w:shd w:fill="FFFFFF"/>
            <w:tcMar>
              <w:top w:w="80" w:type="dxa"/>
              <w:bottom w:w="80" w:type="dxa"/>
              <w:left w:w="100" w:type="dxa"/>
              <w:right w:w="100" w:type="dxa"/>
            </w:tcMar>
          </w:tcPr>
          <w:p>
            <w:r>
              <w:rPr>
                <w:sz w:val="19"/>
              </w:rPr>
              <w:t>- Immediately revoke the compromised API key via the provider management API / console.</w:t>
              <w:br/>
              <w:t>- Provision a temporary replacement key in Secrets Manager and deploy to active agent orchestrators.</w:t>
              <w:br/>
              <w:t>- Temporarily throttle public customer chat endpoints to prevent concurrent exploitation.</w:t>
              <w:br/>
              <w:t>- Block offending external IP addresses at Cloudflare / Edge WAF.</w:t>
            </w:r>
          </w:p>
        </w:tc>
      </w:tr>
      <w:tr>
        <w:tc>
          <w:tcPr>
            <w:tcW w:type="dxa" w:w="3168"/>
            <w:shd w:fill="F0F4F8"/>
            <w:tcMar>
              <w:top w:w="80" w:type="dxa"/>
              <w:bottom w:w="80" w:type="dxa"/>
              <w:left w:w="100" w:type="dxa"/>
              <w:right w:w="100" w:type="dxa"/>
            </w:tcMar>
          </w:tcPr>
          <w:p>
            <w:r>
              <w:rPr>
                <w:b/>
                <w:color w:val="10366E"/>
                <w:sz w:val="19"/>
              </w:rPr>
              <w:t>4. Evidence Preservation</w:t>
            </w:r>
          </w:p>
        </w:tc>
        <w:tc>
          <w:tcPr>
            <w:tcW w:type="dxa" w:w="6192"/>
            <w:shd w:fill="FFFFFF"/>
            <w:tcMar>
              <w:top w:w="80" w:type="dxa"/>
              <w:bottom w:w="80" w:type="dxa"/>
              <w:left w:w="100" w:type="dxa"/>
              <w:right w:w="100" w:type="dxa"/>
            </w:tcMar>
          </w:tcPr>
          <w:p>
            <w:r>
              <w:rPr>
                <w:sz w:val="19"/>
              </w:rPr>
              <w:t>- Snapshot and export provider API audit logs covering the 72-hour window prior to revocation.</w:t>
              <w:br/>
              <w:t>- Capture git commit hash, author metadata, and repository history containing the leaked secret.</w:t>
              <w:br/>
              <w:t>- Export SIEM telemetry records, container runtime logs, and output guardrail alert payloads.</w:t>
              <w:br/>
              <w:t>- Generate SHA-256 cryptographic hashes of all exported log files for forensic chain-of-custody.</w:t>
            </w:r>
          </w:p>
        </w:tc>
      </w:tr>
      <w:tr>
        <w:tc>
          <w:tcPr>
            <w:tcW w:type="dxa" w:w="3168"/>
            <w:shd w:fill="F0F4F8"/>
            <w:tcMar>
              <w:top w:w="80" w:type="dxa"/>
              <w:bottom w:w="80" w:type="dxa"/>
              <w:left w:w="100" w:type="dxa"/>
              <w:right w:w="100" w:type="dxa"/>
            </w:tcMar>
          </w:tcPr>
          <w:p>
            <w:r>
              <w:rPr>
                <w:b/>
                <w:color w:val="10366E"/>
                <w:sz w:val="19"/>
              </w:rPr>
              <w:t>5. Notification &amp; Escalation</w:t>
            </w:r>
          </w:p>
        </w:tc>
        <w:tc>
          <w:tcPr>
            <w:tcW w:type="dxa" w:w="6192"/>
            <w:shd w:fill="FFFFFF"/>
            <w:tcMar>
              <w:top w:w="80" w:type="dxa"/>
              <w:bottom w:w="80" w:type="dxa"/>
              <w:left w:w="100" w:type="dxa"/>
              <w:right w:w="100" w:type="dxa"/>
            </w:tcMar>
          </w:tcPr>
          <w:p>
            <w:r>
              <w:rPr>
                <w:sz w:val="19"/>
              </w:rPr>
              <w:t>- Escalate to Incident Commander, AI Platform Engineering Lead, and CISO within 15 minutes of P1 confirmation.</w:t>
              <w:br/>
              <w:t>- If customer PII was potentially accessible through prompt history, notify Legal &amp; Data Privacy Officer within 2 hours.</w:t>
              <w:br/>
              <w:t>- Dispatch internal security advisory to engineering teams regarding secret hygiene.</w:t>
            </w:r>
          </w:p>
        </w:tc>
      </w:tr>
      <w:tr>
        <w:tc>
          <w:tcPr>
            <w:tcW w:type="dxa" w:w="3168"/>
            <w:shd w:fill="F0F4F8"/>
            <w:tcMar>
              <w:top w:w="80" w:type="dxa"/>
              <w:bottom w:w="80" w:type="dxa"/>
              <w:left w:w="100" w:type="dxa"/>
              <w:right w:w="100" w:type="dxa"/>
            </w:tcMar>
          </w:tcPr>
          <w:p>
            <w:r>
              <w:rPr>
                <w:b/>
                <w:color w:val="10366E"/>
                <w:sz w:val="19"/>
              </w:rPr>
              <w:t>6. Eradication</w:t>
            </w:r>
          </w:p>
        </w:tc>
        <w:tc>
          <w:tcPr>
            <w:tcW w:type="dxa" w:w="6192"/>
            <w:shd w:fill="FFFFFF"/>
            <w:tcMar>
              <w:top w:w="80" w:type="dxa"/>
              <w:bottom w:w="80" w:type="dxa"/>
              <w:left w:w="100" w:type="dxa"/>
              <w:right w:w="100" w:type="dxa"/>
            </w:tcMar>
          </w:tcPr>
          <w:p>
            <w:r>
              <w:rPr>
                <w:sz w:val="19"/>
              </w:rPr>
              <w:t>- Perform full git history purge using git-filter-repo / BFG Repo-Cleaner to permanently scrub secret from all branches.</w:t>
              <w:br/>
              <w:t>- Audit all environment variable definitions across Kubernetes clusters and CI/CD pipelines.</w:t>
              <w:br/>
              <w:t>- Verify that no secondary backdoors or automated extraction cron jobs were established in agent memory.</w:t>
            </w:r>
          </w:p>
        </w:tc>
      </w:tr>
      <w:tr>
        <w:tc>
          <w:tcPr>
            <w:tcW w:type="dxa" w:w="3168"/>
            <w:shd w:fill="F0F4F8"/>
            <w:tcMar>
              <w:top w:w="80" w:type="dxa"/>
              <w:bottom w:w="80" w:type="dxa"/>
              <w:left w:w="100" w:type="dxa"/>
              <w:right w:w="100" w:type="dxa"/>
            </w:tcMar>
          </w:tcPr>
          <w:p>
            <w:r>
              <w:rPr>
                <w:b/>
                <w:color w:val="10366E"/>
                <w:sz w:val="19"/>
              </w:rPr>
              <w:t>7. Recovery</w:t>
            </w:r>
          </w:p>
        </w:tc>
        <w:tc>
          <w:tcPr>
            <w:tcW w:type="dxa" w:w="6192"/>
            <w:shd w:fill="FFFFFF"/>
            <w:tcMar>
              <w:top w:w="80" w:type="dxa"/>
              <w:bottom w:w="80" w:type="dxa"/>
              <w:left w:w="100" w:type="dxa"/>
              <w:right w:w="100" w:type="dxa"/>
            </w:tcMar>
          </w:tcPr>
          <w:p>
            <w:r>
              <w:rPr>
                <w:sz w:val="19"/>
              </w:rPr>
              <w:t>- Verify normal operational status of AI agent customer service platform using new rotated keys.</w:t>
              <w:br/>
              <w:t>- Run automated synthetic health checks (pytest tests/test_agent_health.py) to confirm 200 OK responses.</w:t>
              <w:br/>
              <w:t>- Monitor LLM provider billing metrics and SIEM telemetry for 48 hours to ensure zero residual unauthorized calls.</w:t>
            </w:r>
          </w:p>
        </w:tc>
      </w:tr>
      <w:tr>
        <w:tc>
          <w:tcPr>
            <w:tcW w:type="dxa" w:w="3168"/>
            <w:shd w:fill="F0F4F8"/>
            <w:tcMar>
              <w:top w:w="80" w:type="dxa"/>
              <w:bottom w:w="80" w:type="dxa"/>
              <w:left w:w="100" w:type="dxa"/>
              <w:right w:w="100" w:type="dxa"/>
            </w:tcMar>
          </w:tcPr>
          <w:p>
            <w:r>
              <w:rPr>
                <w:b/>
                <w:color w:val="10366E"/>
                <w:sz w:val="19"/>
              </w:rPr>
              <w:t>8. Post-Incident Review</w:t>
            </w:r>
          </w:p>
        </w:tc>
        <w:tc>
          <w:tcPr>
            <w:tcW w:type="dxa" w:w="6192"/>
            <w:shd w:fill="FFFFFF"/>
            <w:tcMar>
              <w:top w:w="80" w:type="dxa"/>
              <w:bottom w:w="80" w:type="dxa"/>
              <w:left w:w="100" w:type="dxa"/>
              <w:right w:w="100" w:type="dxa"/>
            </w:tcMar>
          </w:tcPr>
          <w:p>
            <w:r>
              <w:rPr>
                <w:sz w:val="19"/>
              </w:rPr>
              <w:t>- Conduct formal Blameless Post-Mortem within 3 business days with AI Platform and Security teams.</w:t>
              <w:br/>
              <w:t>- Document root cause (e.g., developer bypass of pre-commit hook, misconfigured debug logging).</w:t>
              <w:br/>
              <w:t>- Publish Post-Incident Report (PIR) with corrective action items (e.g., enforce mandatory pre-commit hooks).</w:t>
            </w:r>
          </w:p>
        </w:tc>
      </w:tr>
      <w:tr>
        <w:tc>
          <w:tcPr>
            <w:tcW w:type="dxa" w:w="3168"/>
            <w:shd w:fill="F0F4F8"/>
            <w:tcMar>
              <w:top w:w="80" w:type="dxa"/>
              <w:bottom w:w="80" w:type="dxa"/>
              <w:left w:w="100" w:type="dxa"/>
              <w:right w:w="100" w:type="dxa"/>
            </w:tcMar>
          </w:tcPr>
          <w:p>
            <w:r>
              <w:rPr>
                <w:b/>
                <w:color w:val="10366E"/>
                <w:sz w:val="19"/>
              </w:rPr>
              <w:t>9. Required Logs / Evidence</w:t>
            </w:r>
          </w:p>
        </w:tc>
        <w:tc>
          <w:tcPr>
            <w:tcW w:type="dxa" w:w="6192"/>
            <w:shd w:fill="FFFFFF"/>
            <w:tcMar>
              <w:top w:w="80" w:type="dxa"/>
              <w:bottom w:w="80" w:type="dxa"/>
              <w:left w:w="100" w:type="dxa"/>
              <w:right w:w="100" w:type="dxa"/>
            </w:tcMar>
          </w:tcPr>
          <w:p>
            <w:r>
              <w:rPr>
                <w:sz w:val="19"/>
              </w:rPr>
              <w:t>- LLM Provider request logs (timestamp, IP, prompt tokens, model response hashes).</w:t>
              <w:br/>
              <w:t>- GitHub commit / PR audit logs and secret scanner detection alerts.</w:t>
              <w:br/>
              <w:t>- SIEM structured telemetry records (audit_logs.json).</w:t>
              <w:br/>
              <w:t>- HashiCorp Vault / AWS Secrets Manager secret modification audit logs.</w:t>
            </w:r>
          </w:p>
        </w:tc>
      </w:tr>
      <w:tr>
        <w:tc>
          <w:tcPr>
            <w:tcW w:type="dxa" w:w="3168"/>
            <w:shd w:fill="F0F4F8"/>
            <w:tcMar>
              <w:top w:w="80" w:type="dxa"/>
              <w:bottom w:w="80" w:type="dxa"/>
              <w:left w:w="100" w:type="dxa"/>
              <w:right w:w="100" w:type="dxa"/>
            </w:tcMar>
          </w:tcPr>
          <w:p>
            <w:r>
              <w:rPr>
                <w:b/>
                <w:color w:val="10366E"/>
                <w:sz w:val="19"/>
              </w:rPr>
              <w:t>10. Responsible Roles</w:t>
            </w:r>
          </w:p>
        </w:tc>
        <w:tc>
          <w:tcPr>
            <w:tcW w:type="dxa" w:w="6192"/>
            <w:shd w:fill="FFFFFF"/>
            <w:tcMar>
              <w:top w:w="80" w:type="dxa"/>
              <w:bottom w:w="80" w:type="dxa"/>
              <w:left w:w="100" w:type="dxa"/>
              <w:right w:w="100" w:type="dxa"/>
            </w:tcMar>
          </w:tcPr>
          <w:p>
            <w:r>
              <w:rPr>
                <w:sz w:val="19"/>
              </w:rPr>
              <w:t>- Incident Commander: AI Identity Security Lead.</w:t>
              <w:br/>
              <w:t>- Technical Lead: AI Platform Engineering Lead.</w:t>
              <w:br/>
              <w:t>- Operations / Containment: IAM / Auth0 Administrator &amp; On-Call SOC Engineer.</w:t>
              <w:br/>
              <w:t>- Communications &amp; Compliance: CISO &amp; Legal Counsel.</w:t>
            </w:r>
          </w:p>
        </w:tc>
      </w:tr>
    </w:tbl>
    <w:p>
      <w:r>
        <w:br w:type="page"/>
      </w:r>
    </w:p>
    <w:p>
      <w:pPr>
        <w:pStyle w:val="Heading2"/>
        <w:spacing w:before="280" w:after="120"/>
      </w:pPr>
      <w:r>
        <w:rPr>
          <w:color w:val="18508C"/>
          <w:sz w:val="26"/>
        </w:rPr>
        <w:t>7.2 Incident Scenario B: Compromised AI Agent Identity / Spoofed Agent</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00" w:type="dxa"/>
              <w:right w:w="100" w:type="dxa"/>
            </w:tcMar>
          </w:tcPr>
          <w:p>
            <w:r>
              <w:rPr>
                <w:b/>
                <w:color w:val="10366E"/>
                <w:sz w:val="19"/>
              </w:rPr>
              <w:t>1. Detection Signals</w:t>
            </w:r>
          </w:p>
        </w:tc>
        <w:tc>
          <w:tcPr>
            <w:tcW w:type="dxa" w:w="6192"/>
            <w:shd w:fill="FFFFFF"/>
            <w:tcMar>
              <w:top w:w="80" w:type="dxa"/>
              <w:bottom w:w="80" w:type="dxa"/>
              <w:left w:w="100" w:type="dxa"/>
              <w:right w:w="100" w:type="dxa"/>
            </w:tcMar>
          </w:tcPr>
          <w:p>
            <w:r>
              <w:rPr>
                <w:sz w:val="19"/>
              </w:rPr>
              <w:t>- Anomaly detection alert: UNAUTHORIZED_SCOPE_CHANGE_DETECTED or SIGNATURE_VERIFICATION_FAILED on inter-agent RPC.</w:t>
              <w:br/>
              <w:t>- High-privilege tool execution attempt (issue_billing_refund or delete_user_account) by an unapproved caller ID.</w:t>
              <w:br/>
              <w:t>- Auth0 Attack Protection alert: Suspicious IP throttling or multiple failed M2M token requests for client_cs_agent_...</w:t>
              <w:br/>
              <w:t>- Agent B rejecting tampered messages with asymmetric digital signature mismatch errors.</w:t>
            </w:r>
          </w:p>
        </w:tc>
      </w:tr>
      <w:tr>
        <w:tc>
          <w:tcPr>
            <w:tcW w:type="dxa" w:w="3168"/>
            <w:shd w:fill="F0F4F8"/>
            <w:tcMar>
              <w:top w:w="80" w:type="dxa"/>
              <w:bottom w:w="80" w:type="dxa"/>
              <w:left w:w="100" w:type="dxa"/>
              <w:right w:w="100" w:type="dxa"/>
            </w:tcMar>
          </w:tcPr>
          <w:p>
            <w:r>
              <w:rPr>
                <w:b/>
                <w:color w:val="10366E"/>
                <w:sz w:val="19"/>
              </w:rPr>
              <w:t>2. Initial Triage (0 - 15 Mins)</w:t>
            </w:r>
          </w:p>
        </w:tc>
        <w:tc>
          <w:tcPr>
            <w:tcW w:type="dxa" w:w="6192"/>
            <w:shd w:fill="FFFFFF"/>
            <w:tcMar>
              <w:top w:w="80" w:type="dxa"/>
              <w:bottom w:w="80" w:type="dxa"/>
              <w:left w:w="100" w:type="dxa"/>
              <w:right w:w="100" w:type="dxa"/>
            </w:tcMar>
          </w:tcPr>
          <w:p>
            <w:r>
              <w:rPr>
                <w:sz w:val="19"/>
              </w:rPr>
              <w:t>- SOC analyst correlates agent invocation logs with Auth0 token issuance telemetry.</w:t>
              <w:br/>
              <w:t>- Identify the affected agent ID and verify whether unauthorized tool actions succeeded or were blocked.</w:t>
              <w:br/>
              <w:t>- Check if Ed25519 private keys were exposed or if unauthenticated JSON payloads bypassed validation.</w:t>
              <w:br/>
              <w:t>- Classify severity: P1 (Critical) if financial/administrative tools executed; P2 (High) if blocked at gateway.</w:t>
            </w:r>
          </w:p>
        </w:tc>
      </w:tr>
      <w:tr>
        <w:tc>
          <w:tcPr>
            <w:tcW w:type="dxa" w:w="3168"/>
            <w:shd w:fill="F0F4F8"/>
            <w:tcMar>
              <w:top w:w="80" w:type="dxa"/>
              <w:bottom w:w="80" w:type="dxa"/>
              <w:left w:w="100" w:type="dxa"/>
              <w:right w:w="100" w:type="dxa"/>
            </w:tcMar>
          </w:tcPr>
          <w:p>
            <w:r>
              <w:rPr>
                <w:b/>
                <w:color w:val="10366E"/>
                <w:sz w:val="19"/>
              </w:rPr>
              <w:t>3. Containment (15 - 30 Mins)</w:t>
            </w:r>
          </w:p>
        </w:tc>
        <w:tc>
          <w:tcPr>
            <w:tcW w:type="dxa" w:w="6192"/>
            <w:shd w:fill="FFFFFF"/>
            <w:tcMar>
              <w:top w:w="80" w:type="dxa"/>
              <w:bottom w:w="80" w:type="dxa"/>
              <w:left w:w="100" w:type="dxa"/>
              <w:right w:w="100" w:type="dxa"/>
            </w:tcMar>
          </w:tcPr>
          <w:p>
            <w:r>
              <w:rPr>
                <w:sz w:val="19"/>
              </w:rPr>
              <w:t>- Immediately disable the compromised agent's Auth0 Client Application via Auth0 Management API (client_id suspended).</w:t>
              <w:br/>
              <w:t>- Trigger instant revocation of all active M2M tokens and refresh tokens associated with the agent.</w:t>
              <w:br/>
              <w:t>- Sever network connectivity between the compromised agent container and MCP tool execution gateways.</w:t>
              <w:br/>
              <w:t>- Rotate the master Ed25519 signing key pair in KMS and flush all public key caches.</w:t>
            </w:r>
          </w:p>
        </w:tc>
      </w:tr>
      <w:tr>
        <w:tc>
          <w:tcPr>
            <w:tcW w:type="dxa" w:w="3168"/>
            <w:shd w:fill="F0F4F8"/>
            <w:tcMar>
              <w:top w:w="80" w:type="dxa"/>
              <w:bottom w:w="80" w:type="dxa"/>
              <w:left w:w="100" w:type="dxa"/>
              <w:right w:w="100" w:type="dxa"/>
            </w:tcMar>
          </w:tcPr>
          <w:p>
            <w:r>
              <w:rPr>
                <w:b/>
                <w:color w:val="10366E"/>
                <w:sz w:val="19"/>
              </w:rPr>
              <w:t>4. Evidence Preservation</w:t>
            </w:r>
          </w:p>
        </w:tc>
        <w:tc>
          <w:tcPr>
            <w:tcW w:type="dxa" w:w="6192"/>
            <w:shd w:fill="FFFFFF"/>
            <w:tcMar>
              <w:top w:w="80" w:type="dxa"/>
              <w:bottom w:w="80" w:type="dxa"/>
              <w:left w:w="100" w:type="dxa"/>
              <w:right w:w="100" w:type="dxa"/>
            </w:tcMar>
          </w:tcPr>
          <w:p>
            <w:r>
              <w:rPr>
                <w:sz w:val="19"/>
              </w:rPr>
              <w:t>- Snapshot memory and container state of the compromised agent pod for forensic inspection.</w:t>
              <w:br/>
              <w:t>- Export all Auth0 audit logs, including client credentials grants, token exchange, and post-login action logs.</w:t>
              <w:br/>
              <w:t>- Capture raw inter-agent RPC payloads, HTTP headers, digital signatures, and MCP server logs.</w:t>
              <w:br/>
              <w:t>- Archive structured JSON audit trail with cryptographic timestamps.</w:t>
            </w:r>
          </w:p>
        </w:tc>
      </w:tr>
      <w:tr>
        <w:tc>
          <w:tcPr>
            <w:tcW w:type="dxa" w:w="3168"/>
            <w:shd w:fill="F0F4F8"/>
            <w:tcMar>
              <w:top w:w="80" w:type="dxa"/>
              <w:bottom w:w="80" w:type="dxa"/>
              <w:left w:w="100" w:type="dxa"/>
              <w:right w:w="100" w:type="dxa"/>
            </w:tcMar>
          </w:tcPr>
          <w:p>
            <w:r>
              <w:rPr>
                <w:b/>
                <w:color w:val="10366E"/>
                <w:sz w:val="19"/>
              </w:rPr>
              <w:t>5. Notification &amp; Escalation</w:t>
            </w:r>
          </w:p>
        </w:tc>
        <w:tc>
          <w:tcPr>
            <w:tcW w:type="dxa" w:w="6192"/>
            <w:shd w:fill="FFFFFF"/>
            <w:tcMar>
              <w:top w:w="80" w:type="dxa"/>
              <w:bottom w:w="80" w:type="dxa"/>
              <w:left w:w="100" w:type="dxa"/>
              <w:right w:w="100" w:type="dxa"/>
            </w:tcMar>
          </w:tcPr>
          <w:p>
            <w:r>
              <w:rPr>
                <w:sz w:val="19"/>
              </w:rPr>
              <w:t>- Notify CISO, Head of Engineering, and AI Platform Owner within 15 minutes of P1 confirmation.</w:t>
              <w:br/>
              <w:t>- Alert the Customer Support operations lead if agent suspension impacts live customer ticketing.</w:t>
              <w:br/>
              <w:t>- Activate technical incident war-room on enterprise communications channel.</w:t>
            </w:r>
          </w:p>
        </w:tc>
      </w:tr>
      <w:tr>
        <w:tc>
          <w:tcPr>
            <w:tcW w:type="dxa" w:w="3168"/>
            <w:shd w:fill="F0F4F8"/>
            <w:tcMar>
              <w:top w:w="80" w:type="dxa"/>
              <w:bottom w:w="80" w:type="dxa"/>
              <w:left w:w="100" w:type="dxa"/>
              <w:right w:w="100" w:type="dxa"/>
            </w:tcMar>
          </w:tcPr>
          <w:p>
            <w:r>
              <w:rPr>
                <w:b/>
                <w:color w:val="10366E"/>
                <w:sz w:val="19"/>
              </w:rPr>
              <w:t>6. Eradication</w:t>
            </w:r>
          </w:p>
        </w:tc>
        <w:tc>
          <w:tcPr>
            <w:tcW w:type="dxa" w:w="6192"/>
            <w:shd w:fill="FFFFFF"/>
            <w:tcMar>
              <w:top w:w="80" w:type="dxa"/>
              <w:bottom w:w="80" w:type="dxa"/>
              <w:left w:w="100" w:type="dxa"/>
              <w:right w:w="100" w:type="dxa"/>
            </w:tcMar>
          </w:tcPr>
          <w:p>
            <w:r>
              <w:rPr>
                <w:sz w:val="19"/>
              </w:rPr>
              <w:t>- Terminate and redeploy all agent pods from trusted, immutable container base images.</w:t>
              <w:br/>
              <w:t>- Enforce strict Ed25519 signature verification on all MCP tool worker entrypoints (Zero Trust).</w:t>
              <w:br/>
              <w:t>- Verify that Auth0 post-login Actions strictly enforce agent_id claim binding and reject untrusted tokens.</w:t>
              <w:br/>
              <w:t>- Validate that no lingering malicious credentials remain in agent memory.</w:t>
            </w:r>
          </w:p>
        </w:tc>
      </w:tr>
      <w:tr>
        <w:tc>
          <w:tcPr>
            <w:tcW w:type="dxa" w:w="3168"/>
            <w:shd w:fill="F0F4F8"/>
            <w:tcMar>
              <w:top w:w="80" w:type="dxa"/>
              <w:bottom w:w="80" w:type="dxa"/>
              <w:left w:w="100" w:type="dxa"/>
              <w:right w:w="100" w:type="dxa"/>
            </w:tcMar>
          </w:tcPr>
          <w:p>
            <w:r>
              <w:rPr>
                <w:b/>
                <w:color w:val="10366E"/>
                <w:sz w:val="19"/>
              </w:rPr>
              <w:t>7. Recovery</w:t>
            </w:r>
          </w:p>
        </w:tc>
        <w:tc>
          <w:tcPr>
            <w:tcW w:type="dxa" w:w="6192"/>
            <w:shd w:fill="FFFFFF"/>
            <w:tcMar>
              <w:top w:w="80" w:type="dxa"/>
              <w:bottom w:w="80" w:type="dxa"/>
              <w:left w:w="100" w:type="dxa"/>
              <w:right w:w="100" w:type="dxa"/>
            </w:tcMar>
          </w:tcPr>
          <w:p>
            <w:r>
              <w:rPr>
                <w:sz w:val="19"/>
              </w:rPr>
              <w:t>- Re-provision new Auth0 M2M credentials and deploy new Ed25519 key pair to production.</w:t>
              <w:br/>
              <w:t>- Execute automated regression test suite (python scripts/run_blue_team.py) to verify signature validation.</w:t>
              <w:br/>
              <w:t>- Restore agent traffic gradually (10% -&gt; 50% -&gt; 100%) while monitoring SIEM anomaly alert streams.</w:t>
              <w:br/>
              <w:t>- Confirm 100% rejection rate for unsigned or spoofed RPC envelopes.</w:t>
            </w:r>
          </w:p>
        </w:tc>
      </w:tr>
      <w:tr>
        <w:tc>
          <w:tcPr>
            <w:tcW w:type="dxa" w:w="3168"/>
            <w:shd w:fill="F0F4F8"/>
            <w:tcMar>
              <w:top w:w="80" w:type="dxa"/>
              <w:bottom w:w="80" w:type="dxa"/>
              <w:left w:w="100" w:type="dxa"/>
              <w:right w:w="100" w:type="dxa"/>
            </w:tcMar>
          </w:tcPr>
          <w:p>
            <w:r>
              <w:rPr>
                <w:b/>
                <w:color w:val="10366E"/>
                <w:sz w:val="19"/>
              </w:rPr>
              <w:t>8. Post-Incident Review</w:t>
            </w:r>
          </w:p>
        </w:tc>
        <w:tc>
          <w:tcPr>
            <w:tcW w:type="dxa" w:w="6192"/>
            <w:shd w:fill="FFFFFF"/>
            <w:tcMar>
              <w:top w:w="80" w:type="dxa"/>
              <w:bottom w:w="80" w:type="dxa"/>
              <w:left w:w="100" w:type="dxa"/>
              <w:right w:w="100" w:type="dxa"/>
            </w:tcMar>
          </w:tcPr>
          <w:p>
            <w:r>
              <w:rPr>
                <w:sz w:val="19"/>
              </w:rPr>
              <w:t>- Conduct Root Cause Analysis (RCA) within 3 business days.</w:t>
              <w:br/>
              <w:t>- Evaluate why spoofed/compromised material was accepted (e.g., missing signature check in legacy endpoint).</w:t>
              <w:br/>
              <w:t>- Implement architectural hardening to eliminate implicit trust across all microservices.</w:t>
            </w:r>
          </w:p>
        </w:tc>
      </w:tr>
      <w:tr>
        <w:tc>
          <w:tcPr>
            <w:tcW w:type="dxa" w:w="3168"/>
            <w:shd w:fill="F0F4F8"/>
            <w:tcMar>
              <w:top w:w="80" w:type="dxa"/>
              <w:bottom w:w="80" w:type="dxa"/>
              <w:left w:w="100" w:type="dxa"/>
              <w:right w:w="100" w:type="dxa"/>
            </w:tcMar>
          </w:tcPr>
          <w:p>
            <w:r>
              <w:rPr>
                <w:b/>
                <w:color w:val="10366E"/>
                <w:sz w:val="19"/>
              </w:rPr>
              <w:t>9. Required Logs / Evidence</w:t>
            </w:r>
          </w:p>
        </w:tc>
        <w:tc>
          <w:tcPr>
            <w:tcW w:type="dxa" w:w="6192"/>
            <w:shd w:fill="FFFFFF"/>
            <w:tcMar>
              <w:top w:w="80" w:type="dxa"/>
              <w:bottom w:w="80" w:type="dxa"/>
              <w:left w:w="100" w:type="dxa"/>
              <w:right w:w="100" w:type="dxa"/>
            </w:tcMar>
          </w:tcPr>
          <w:p>
            <w:r>
              <w:rPr>
                <w:sz w:val="19"/>
              </w:rPr>
              <w:t>- Auth0 Management &amp; Authentication logs (Client Credentials grants, IP addresses, user agents).</w:t>
              <w:br/>
              <w:t>- MCP Gateway RPC logs (sender_id, digital_signature, tool_name, execution result).</w:t>
              <w:br/>
              <w:t>- Anomaly detection alert telemetry (anomaly_alerts.json).</w:t>
              <w:br/>
              <w:t>- Ed25519 key rotation logs and verification event traces.</w:t>
            </w:r>
          </w:p>
        </w:tc>
      </w:tr>
      <w:tr>
        <w:tc>
          <w:tcPr>
            <w:tcW w:type="dxa" w:w="3168"/>
            <w:shd w:fill="F0F4F8"/>
            <w:tcMar>
              <w:top w:w="80" w:type="dxa"/>
              <w:bottom w:w="80" w:type="dxa"/>
              <w:left w:w="100" w:type="dxa"/>
              <w:right w:w="100" w:type="dxa"/>
            </w:tcMar>
          </w:tcPr>
          <w:p>
            <w:r>
              <w:rPr>
                <w:b/>
                <w:color w:val="10366E"/>
                <w:sz w:val="19"/>
              </w:rPr>
              <w:t>10. Responsible Roles</w:t>
            </w:r>
          </w:p>
        </w:tc>
        <w:tc>
          <w:tcPr>
            <w:tcW w:type="dxa" w:w="6192"/>
            <w:shd w:fill="FFFFFF"/>
            <w:tcMar>
              <w:top w:w="80" w:type="dxa"/>
              <w:bottom w:w="80" w:type="dxa"/>
              <w:left w:w="100" w:type="dxa"/>
              <w:right w:w="100" w:type="dxa"/>
            </w:tcMar>
          </w:tcPr>
          <w:p>
            <w:r>
              <w:rPr>
                <w:sz w:val="19"/>
              </w:rPr>
              <w:t>- Incident Commander: AI Identity Security Lead.</w:t>
              <w:br/>
              <w:t>- IAM Response Lead: Auth0 / IAM Administrator.</w:t>
              <w:br/>
              <w:t>- Platform Forensics: AI Platform Engineering Lead.</w:t>
              <w:br/>
              <w:t>- Executive Oversight: CISO.</w:t>
            </w:r>
          </w:p>
        </w:tc>
      </w:tr>
    </w:tbl>
    <w:p>
      <w:r>
        <w:br w:type="page"/>
      </w:r>
    </w:p>
    <w:p>
      <w:pPr>
        <w:pStyle w:val="Heading2"/>
        <w:spacing w:before="280" w:after="120"/>
      </w:pPr>
      <w:r>
        <w:rPr>
          <w:color w:val="18508C"/>
          <w:sz w:val="26"/>
        </w:rPr>
        <w:t>7.3 Incident Scenario C: Successful Prompt Injection Resulting in Data Exfiltration</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00" w:type="dxa"/>
              <w:right w:w="100" w:type="dxa"/>
            </w:tcMar>
          </w:tcPr>
          <w:p>
            <w:r>
              <w:rPr>
                <w:b/>
                <w:color w:val="10366E"/>
                <w:sz w:val="19"/>
              </w:rPr>
              <w:t>1. Detection Signals</w:t>
            </w:r>
          </w:p>
        </w:tc>
        <w:tc>
          <w:tcPr>
            <w:tcW w:type="dxa" w:w="6192"/>
            <w:shd w:fill="FFFFFF"/>
            <w:tcMar>
              <w:top w:w="80" w:type="dxa"/>
              <w:bottom w:w="80" w:type="dxa"/>
              <w:left w:w="100" w:type="dxa"/>
              <w:right w:w="100" w:type="dxa"/>
            </w:tcMar>
          </w:tcPr>
          <w:p>
            <w:r>
              <w:rPr>
                <w:sz w:val="19"/>
              </w:rPr>
              <w:t>- Pre-LLM / Post-LLM Guardrail alert: SYSTEM_OVERRIDE_FLAGGED, INSTRUCTION_BYPASS_ATTEMPT, or JWT_SECRET_EXFILTRATED.</w:t>
              <w:br/>
              <w:t>- Output guardrail regex filter intercepting JWT bearer token (eyJhbGciOi...) or sensitive PII in model output.</w:t>
              <w:br/>
              <w:t>- Anomaly alert for unusual outbound RAG chunk retrieval volume or sensitive file downloads.</w:t>
              <w:br/>
              <w:t>- User report / CSR flagging unexpected assistant behavior revealing internal system instructions.</w:t>
            </w:r>
          </w:p>
        </w:tc>
      </w:tr>
      <w:tr>
        <w:tc>
          <w:tcPr>
            <w:tcW w:type="dxa" w:w="3168"/>
            <w:shd w:fill="F0F4F8"/>
            <w:tcMar>
              <w:top w:w="80" w:type="dxa"/>
              <w:bottom w:w="80" w:type="dxa"/>
              <w:left w:w="100" w:type="dxa"/>
              <w:right w:w="100" w:type="dxa"/>
            </w:tcMar>
          </w:tcPr>
          <w:p>
            <w:r>
              <w:rPr>
                <w:b/>
                <w:color w:val="10366E"/>
                <w:sz w:val="19"/>
              </w:rPr>
              <w:t>2. Initial Triage (0 - 15 Mins)</w:t>
            </w:r>
          </w:p>
        </w:tc>
        <w:tc>
          <w:tcPr>
            <w:tcW w:type="dxa" w:w="6192"/>
            <w:shd w:fill="FFFFFF"/>
            <w:tcMar>
              <w:top w:w="80" w:type="dxa"/>
              <w:bottom w:w="80" w:type="dxa"/>
              <w:left w:w="100" w:type="dxa"/>
              <w:right w:w="100" w:type="dxa"/>
            </w:tcMar>
          </w:tcPr>
          <w:p>
            <w:r>
              <w:rPr>
                <w:sz w:val="19"/>
              </w:rPr>
              <w:t>- Review the exact conversation session ID, user prompt payload, and raw model response buffer.</w:t>
              <w:br/>
              <w:t>- Determine injection type: Direct prompt injection (chat input) or Indirect prompt injection (malicious invoice/RAG document).</w:t>
              <w:br/>
              <w:t>- Assess whether sensitive data (JWT token, customer PII, system prompt) was delivered to the adversary.</w:t>
              <w:br/>
              <w:t>- Assign Severity: P1 (Critical) if active session tokens or bulk customer PII exfiltrated; P2 (High) if intercepted by output regex.</w:t>
            </w:r>
          </w:p>
        </w:tc>
      </w:tr>
      <w:tr>
        <w:tc>
          <w:tcPr>
            <w:tcW w:type="dxa" w:w="3168"/>
            <w:shd w:fill="F0F4F8"/>
            <w:tcMar>
              <w:top w:w="80" w:type="dxa"/>
              <w:bottom w:w="80" w:type="dxa"/>
              <w:left w:w="100" w:type="dxa"/>
              <w:right w:w="100" w:type="dxa"/>
            </w:tcMar>
          </w:tcPr>
          <w:p>
            <w:r>
              <w:rPr>
                <w:b/>
                <w:color w:val="10366E"/>
                <w:sz w:val="19"/>
              </w:rPr>
              <w:t>3. Containment (15 - 30 Mins)</w:t>
            </w:r>
          </w:p>
        </w:tc>
        <w:tc>
          <w:tcPr>
            <w:tcW w:type="dxa" w:w="6192"/>
            <w:shd w:fill="FFFFFF"/>
            <w:tcMar>
              <w:top w:w="80" w:type="dxa"/>
              <w:bottom w:w="80" w:type="dxa"/>
              <w:left w:w="100" w:type="dxa"/>
              <w:right w:w="100" w:type="dxa"/>
            </w:tcMar>
          </w:tcPr>
          <w:p>
            <w:r>
              <w:rPr>
                <w:sz w:val="19"/>
              </w:rPr>
              <w:t>- Immediately terminate the affected user session and revoke the active Auth0 Session JWT.</w:t>
              <w:br/>
              <w:t>- If indirect injection via poisoned RAG chunk: instantly isolate and quarantine the affected vector database index.</w:t>
              <w:br/>
              <w:t>- Tighten input guardrail heuristic rules to block the adversary's specific bypass syntax.</w:t>
              <w:br/>
              <w:t>- Enable aggressive output redaction mode ([REDACTED_IDENTITY_JWT_TOKEN]) across all model egress streams.</w:t>
            </w:r>
          </w:p>
        </w:tc>
      </w:tr>
      <w:tr>
        <w:tc>
          <w:tcPr>
            <w:tcW w:type="dxa" w:w="3168"/>
            <w:shd w:fill="F0F4F8"/>
            <w:tcMar>
              <w:top w:w="80" w:type="dxa"/>
              <w:bottom w:w="80" w:type="dxa"/>
              <w:left w:w="100" w:type="dxa"/>
              <w:right w:w="100" w:type="dxa"/>
            </w:tcMar>
          </w:tcPr>
          <w:p>
            <w:r>
              <w:rPr>
                <w:b/>
                <w:color w:val="10366E"/>
                <w:sz w:val="19"/>
              </w:rPr>
              <w:t>4. Evidence Preservation</w:t>
            </w:r>
          </w:p>
        </w:tc>
        <w:tc>
          <w:tcPr>
            <w:tcW w:type="dxa" w:w="6192"/>
            <w:shd w:fill="FFFFFF"/>
            <w:tcMar>
              <w:top w:w="80" w:type="dxa"/>
              <w:bottom w:w="80" w:type="dxa"/>
              <w:left w:w="100" w:type="dxa"/>
              <w:right w:w="100" w:type="dxa"/>
            </w:tcMar>
          </w:tcPr>
          <w:p>
            <w:r>
              <w:rPr>
                <w:sz w:val="19"/>
              </w:rPr>
              <w:t>- Export the complete conversation transcript including system prompt, user prompt, retrieved RAG context, and model output.</w:t>
              <w:br/>
              <w:t>- Capture raw adversarial document/payload (e.g., Invoice_#8821.pdf) and document hash.</w:t>
              <w:br/>
              <w:t>- Extract vector database ingestion metadata to identify who uploaded the poisoned chunk and when.</w:t>
              <w:br/>
              <w:t>- Archive all guardrail logs with execution timing and classification confidence scores.</w:t>
            </w:r>
          </w:p>
        </w:tc>
      </w:tr>
      <w:tr>
        <w:tc>
          <w:tcPr>
            <w:tcW w:type="dxa" w:w="3168"/>
            <w:shd w:fill="F0F4F8"/>
            <w:tcMar>
              <w:top w:w="80" w:type="dxa"/>
              <w:bottom w:w="80" w:type="dxa"/>
              <w:left w:w="100" w:type="dxa"/>
              <w:right w:w="100" w:type="dxa"/>
            </w:tcMar>
          </w:tcPr>
          <w:p>
            <w:r>
              <w:rPr>
                <w:b/>
                <w:color w:val="10366E"/>
                <w:sz w:val="19"/>
              </w:rPr>
              <w:t>5. Notification &amp; Escalation</w:t>
            </w:r>
          </w:p>
        </w:tc>
        <w:tc>
          <w:tcPr>
            <w:tcW w:type="dxa" w:w="6192"/>
            <w:shd w:fill="FFFFFF"/>
            <w:tcMar>
              <w:top w:w="80" w:type="dxa"/>
              <w:bottom w:w="80" w:type="dxa"/>
              <w:left w:w="100" w:type="dxa"/>
              <w:right w:w="100" w:type="dxa"/>
            </w:tcMar>
          </w:tcPr>
          <w:p>
            <w:r>
              <w:rPr>
                <w:sz w:val="19"/>
              </w:rPr>
              <w:t>- Escalate to AI Identity Security Lead and CISO within 15 minutes of P1 confirmation.</w:t>
              <w:br/>
              <w:t>- If exfiltrated data includes customer personal data, notify Data Protection Officer (DPO) within 1 hour for regulatory reporting (GDPR/CCPA).</w:t>
              <w:br/>
              <w:t>- Brief customer support management on potential phishing or unauthorized account activity.</w:t>
            </w:r>
          </w:p>
        </w:tc>
      </w:tr>
      <w:tr>
        <w:tc>
          <w:tcPr>
            <w:tcW w:type="dxa" w:w="3168"/>
            <w:shd w:fill="F0F4F8"/>
            <w:tcMar>
              <w:top w:w="80" w:type="dxa"/>
              <w:bottom w:w="80" w:type="dxa"/>
              <w:left w:w="100" w:type="dxa"/>
              <w:right w:w="100" w:type="dxa"/>
            </w:tcMar>
          </w:tcPr>
          <w:p>
            <w:r>
              <w:rPr>
                <w:b/>
                <w:color w:val="10366E"/>
                <w:sz w:val="19"/>
              </w:rPr>
              <w:t>6. Eradication</w:t>
            </w:r>
          </w:p>
        </w:tc>
        <w:tc>
          <w:tcPr>
            <w:tcW w:type="dxa" w:w="6192"/>
            <w:shd w:fill="FFFFFF"/>
            <w:tcMar>
              <w:top w:w="80" w:type="dxa"/>
              <w:bottom w:w="80" w:type="dxa"/>
              <w:left w:w="100" w:type="dxa"/>
              <w:right w:w="100" w:type="dxa"/>
            </w:tcMar>
          </w:tcPr>
          <w:p>
            <w:r>
              <w:rPr>
                <w:sz w:val="19"/>
              </w:rPr>
              <w:t>- Purge the poisoned chunk from vector database storage and re-index affected knowledge base partitions.</w:t>
              <w:br/>
              <w:t>- Update guardrail engine (guardrails_engine.py) with new regex patterns, semantic classifiers, and boundary markers.</w:t>
              <w:br/>
              <w:t>- Refactor system prompts to enforce strict context compartmentalization and instruction delimiter isolation.</w:t>
              <w:br/>
              <w:t>- Implement cryptographic hashing and approval gates on all future RAG document ingestion.</w:t>
            </w:r>
          </w:p>
        </w:tc>
      </w:tr>
      <w:tr>
        <w:tc>
          <w:tcPr>
            <w:tcW w:type="dxa" w:w="3168"/>
            <w:shd w:fill="F0F4F8"/>
            <w:tcMar>
              <w:top w:w="80" w:type="dxa"/>
              <w:bottom w:w="80" w:type="dxa"/>
              <w:left w:w="100" w:type="dxa"/>
              <w:right w:w="100" w:type="dxa"/>
            </w:tcMar>
          </w:tcPr>
          <w:p>
            <w:r>
              <w:rPr>
                <w:b/>
                <w:color w:val="10366E"/>
                <w:sz w:val="19"/>
              </w:rPr>
              <w:t>7. Recovery</w:t>
            </w:r>
          </w:p>
        </w:tc>
        <w:tc>
          <w:tcPr>
            <w:tcW w:type="dxa" w:w="6192"/>
            <w:shd w:fill="FFFFFF"/>
            <w:tcMar>
              <w:top w:w="80" w:type="dxa"/>
              <w:bottom w:w="80" w:type="dxa"/>
              <w:left w:w="100" w:type="dxa"/>
              <w:right w:w="100" w:type="dxa"/>
            </w:tcMar>
          </w:tcPr>
          <w:p>
            <w:r>
              <w:rPr>
                <w:sz w:val="19"/>
              </w:rPr>
              <w:t>- Re-run full Red Team prompt injection suite (python scripts/run_red_team.py) against hardened guardrails.</w:t>
              <w:br/>
              <w:t>- Verify that all 5 prompt injection attack vectors (SEC-ADV-01 to SEC-ADV-05) return 100% BLOCKED status.</w:t>
              <w:br/>
              <w:t>- Re-enable normal RAG retrieval services and resume standard customer chat routing.</w:t>
              <w:br/>
              <w:t>- Maintain enhanced real-time egress monitoring for 72 hours.</w:t>
            </w:r>
          </w:p>
        </w:tc>
      </w:tr>
      <w:tr>
        <w:tc>
          <w:tcPr>
            <w:tcW w:type="dxa" w:w="3168"/>
            <w:shd w:fill="F0F4F8"/>
            <w:tcMar>
              <w:top w:w="80" w:type="dxa"/>
              <w:bottom w:w="80" w:type="dxa"/>
              <w:left w:w="100" w:type="dxa"/>
              <w:right w:w="100" w:type="dxa"/>
            </w:tcMar>
          </w:tcPr>
          <w:p>
            <w:r>
              <w:rPr>
                <w:b/>
                <w:color w:val="10366E"/>
                <w:sz w:val="19"/>
              </w:rPr>
              <w:t>8. Post-Incident Review</w:t>
            </w:r>
          </w:p>
        </w:tc>
        <w:tc>
          <w:tcPr>
            <w:tcW w:type="dxa" w:w="6192"/>
            <w:shd w:fill="FFFFFF"/>
            <w:tcMar>
              <w:top w:w="80" w:type="dxa"/>
              <w:bottom w:w="80" w:type="dxa"/>
              <w:left w:w="100" w:type="dxa"/>
              <w:right w:w="100" w:type="dxa"/>
            </w:tcMar>
          </w:tcPr>
          <w:p>
            <w:r>
              <w:rPr>
                <w:sz w:val="19"/>
              </w:rPr>
              <w:t>- Conduct comprehensive Post-Mortem within 5 business days.</w:t>
              <w:br/>
              <w:t>- Map exploit mechanics to MITRE ATLAS techniques (AML.T0051, AML.T0043, AML.T0016).</w:t>
              <w:br/>
              <w:t>- Update SecureNova Threat Model and Risk Priority Matrix with new adversary techniques.</w:t>
            </w:r>
          </w:p>
        </w:tc>
      </w:tr>
      <w:tr>
        <w:tc>
          <w:tcPr>
            <w:tcW w:type="dxa" w:w="3168"/>
            <w:shd w:fill="F0F4F8"/>
            <w:tcMar>
              <w:top w:w="80" w:type="dxa"/>
              <w:bottom w:w="80" w:type="dxa"/>
              <w:left w:w="100" w:type="dxa"/>
              <w:right w:w="100" w:type="dxa"/>
            </w:tcMar>
          </w:tcPr>
          <w:p>
            <w:r>
              <w:rPr>
                <w:b/>
                <w:color w:val="10366E"/>
                <w:sz w:val="19"/>
              </w:rPr>
              <w:t>9. Required Logs / Evidence</w:t>
            </w:r>
          </w:p>
        </w:tc>
        <w:tc>
          <w:tcPr>
            <w:tcW w:type="dxa" w:w="6192"/>
            <w:shd w:fill="FFFFFF"/>
            <w:tcMar>
              <w:top w:w="80" w:type="dxa"/>
              <w:bottom w:w="80" w:type="dxa"/>
              <w:left w:w="100" w:type="dxa"/>
              <w:right w:w="100" w:type="dxa"/>
            </w:tcMar>
          </w:tcPr>
          <w:p>
            <w:r>
              <w:rPr>
                <w:sz w:val="19"/>
              </w:rPr>
              <w:t>- Raw user session conversation logs with full context window traces.</w:t>
              <w:br/>
              <w:t>- Vector database retrieval query logs and similarity score traces.</w:t>
              <w:br/>
              <w:t>- Guardrail decision audit records showing pre-LLM and post-LLM filter results.</w:t>
              <w:br/>
              <w:t>- Auth0 token revocation and session invalidation logs.</w:t>
            </w:r>
          </w:p>
        </w:tc>
      </w:tr>
      <w:tr>
        <w:tc>
          <w:tcPr>
            <w:tcW w:type="dxa" w:w="3168"/>
            <w:shd w:fill="F0F4F8"/>
            <w:tcMar>
              <w:top w:w="80" w:type="dxa"/>
              <w:bottom w:w="80" w:type="dxa"/>
              <w:left w:w="100" w:type="dxa"/>
              <w:right w:w="100" w:type="dxa"/>
            </w:tcMar>
          </w:tcPr>
          <w:p>
            <w:r>
              <w:rPr>
                <w:b/>
                <w:color w:val="10366E"/>
                <w:sz w:val="19"/>
              </w:rPr>
              <w:t>10. Responsible Roles</w:t>
            </w:r>
          </w:p>
        </w:tc>
        <w:tc>
          <w:tcPr>
            <w:tcW w:type="dxa" w:w="6192"/>
            <w:shd w:fill="FFFFFF"/>
            <w:tcMar>
              <w:top w:w="80" w:type="dxa"/>
              <w:bottom w:w="80" w:type="dxa"/>
              <w:left w:w="100" w:type="dxa"/>
              <w:right w:w="100" w:type="dxa"/>
            </w:tcMar>
          </w:tcPr>
          <w:p>
            <w:r>
              <w:rPr>
                <w:sz w:val="19"/>
              </w:rPr>
              <w:t>- Incident Commander: AI Identity Security Lead.</w:t>
              <w:br/>
              <w:t>- Guardrail / Model Engineering: AI Platform Engineering Lead.</w:t>
              <w:br/>
              <w:t>- Data Privacy &amp; Compliance: Data Protection Officer (DPO) &amp; Legal.</w:t>
              <w:br/>
              <w:t>- Operations &amp; Monitoring: SOC Team.</w:t>
            </w:r>
          </w:p>
        </w:tc>
      </w:tr>
    </w:tbl>
    <w:p>
      <w:r>
        <w:br w:type="page"/>
      </w:r>
    </w:p>
    <w:p>
      <w:pPr>
        <w:pStyle w:val="Heading1"/>
        <w:spacing w:before="360" w:after="160"/>
      </w:pPr>
      <w:r>
        <w:rPr>
          <w:color w:val="10366E"/>
          <w:sz w:val="32"/>
        </w:rPr>
        <w:t>8. Compliance Mappings (NIST AI RMF &amp; OWASP LLM Top 10)</w:t>
      </w:r>
    </w:p>
    <w:p>
      <w:r>
        <w:t>This policy directly satisfies the core governance obligations of the NIST AI Risk Management Framework (AI RMF 1.0) and mitigates the OWASP Top 10 for LLM Applications (2025). Full itemized evidence mappings are maintained in Project5_Compliance_Mapping.xlsx.</w:t>
        <w:br/>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0366E"/>
          </w:tcPr>
          <w:p>
            <w:r>
              <w:rPr>
                <w:b/>
                <w:color w:val="FFFFFF"/>
              </w:rPr>
              <w:t>NIST AI RMF Function</w:t>
            </w:r>
          </w:p>
        </w:tc>
        <w:tc>
          <w:tcPr>
            <w:tcW w:type="dxa" w:w="3120"/>
            <w:tcMar>
              <w:top w:w="80" w:type="dxa"/>
              <w:bottom w:w="80" w:type="dxa"/>
              <w:left w:w="100" w:type="dxa"/>
              <w:right w:w="100" w:type="dxa"/>
            </w:tcMar>
            <w:shd w:fill="10366E"/>
          </w:tcPr>
          <w:p>
            <w:r>
              <w:rPr>
                <w:b/>
                <w:color w:val="FFFFFF"/>
              </w:rPr>
              <w:t>Core Policy Mapping &amp; Implemented Control</w:t>
            </w:r>
          </w:p>
        </w:tc>
        <w:tc>
          <w:tcPr>
            <w:tcW w:type="dxa" w:w="3120"/>
            <w:tcMar>
              <w:top w:w="80" w:type="dxa"/>
              <w:bottom w:w="80" w:type="dxa"/>
              <w:left w:w="100" w:type="dxa"/>
              <w:right w:w="100" w:type="dxa"/>
            </w:tcMar>
            <w:shd w:fill="10366E"/>
          </w:tcPr>
          <w:p>
            <w:r>
              <w:rPr>
                <w:b/>
                <w:color w:val="FFFFFF"/>
              </w:rPr>
              <w:t>Evidence Artifact</w:t>
            </w:r>
          </w:p>
        </w:tc>
      </w:tr>
      <w:tr>
        <w:tc>
          <w:tcPr>
            <w:tcW w:type="dxa" w:w="3120"/>
            <w:tcMar>
              <w:top w:w="80" w:type="dxa"/>
              <w:bottom w:w="80" w:type="dxa"/>
              <w:left w:w="100" w:type="dxa"/>
              <w:right w:w="100" w:type="dxa"/>
            </w:tcMar>
            <w:shd w:fill="F8FAFC"/>
          </w:tcPr>
          <w:p>
            <w:r>
              <w:rPr>
                <w:sz w:val="19"/>
              </w:rPr>
              <w:t>GOVERN</w:t>
            </w:r>
          </w:p>
        </w:tc>
        <w:tc>
          <w:tcPr>
            <w:tcW w:type="dxa" w:w="3120"/>
            <w:tcMar>
              <w:top w:w="80" w:type="dxa"/>
              <w:bottom w:w="80" w:type="dxa"/>
              <w:left w:w="100" w:type="dxa"/>
              <w:right w:w="100" w:type="dxa"/>
            </w:tcMar>
            <w:shd w:fill="F8FAFC"/>
          </w:tcPr>
          <w:p>
            <w:r>
              <w:rPr>
                <w:sz w:val="19"/>
              </w:rPr>
              <w:t>AI Identity Governance Policy, defined lifecycle, 90-day access review, CISO approval matrix</w:t>
            </w:r>
          </w:p>
        </w:tc>
        <w:tc>
          <w:tcPr>
            <w:tcW w:type="dxa" w:w="3120"/>
            <w:tcMar>
              <w:top w:w="80" w:type="dxa"/>
              <w:bottom w:w="80" w:type="dxa"/>
              <w:left w:w="100" w:type="dxa"/>
              <w:right w:w="100" w:type="dxa"/>
            </w:tcMar>
            <w:shd w:fill="F8FAFC"/>
          </w:tcPr>
          <w:p>
            <w:r>
              <w:rPr>
                <w:sz w:val="19"/>
              </w:rPr>
              <w:t>Project5_AI_Identity_Security_Policy.docx</w:t>
            </w:r>
          </w:p>
        </w:tc>
      </w:tr>
      <w:tr>
        <w:tc>
          <w:tcPr>
            <w:tcW w:type="dxa" w:w="3120"/>
            <w:tcMar>
              <w:top w:w="80" w:type="dxa"/>
              <w:bottom w:w="80" w:type="dxa"/>
              <w:left w:w="100" w:type="dxa"/>
              <w:right w:w="100" w:type="dxa"/>
            </w:tcMar>
            <w:shd w:fill="FFFFFF"/>
          </w:tcPr>
          <w:p>
            <w:r>
              <w:rPr>
                <w:sz w:val="19"/>
              </w:rPr>
              <w:t>MAP</w:t>
            </w:r>
          </w:p>
        </w:tc>
        <w:tc>
          <w:tcPr>
            <w:tcW w:type="dxa" w:w="3120"/>
            <w:tcMar>
              <w:top w:w="80" w:type="dxa"/>
              <w:bottom w:w="80" w:type="dxa"/>
              <w:left w:w="100" w:type="dxa"/>
              <w:right w:w="100" w:type="dxa"/>
            </w:tcMar>
            <w:shd w:fill="FFFFFF"/>
          </w:tcPr>
          <w:p>
            <w:r>
              <w:rPr>
                <w:sz w:val="19"/>
              </w:rPr>
              <w:t>STRIDE threat model across 5 trust boundaries, attack surface analysis, DREAD scoring</w:t>
            </w:r>
          </w:p>
        </w:tc>
        <w:tc>
          <w:tcPr>
            <w:tcW w:type="dxa" w:w="3120"/>
            <w:tcMar>
              <w:top w:w="80" w:type="dxa"/>
              <w:bottom w:w="80" w:type="dxa"/>
              <w:left w:w="100" w:type="dxa"/>
              <w:right w:w="100" w:type="dxa"/>
            </w:tcMar>
            <w:shd w:fill="FFFFFF"/>
          </w:tcPr>
          <w:p>
            <w:r>
              <w:rPr>
                <w:sz w:val="19"/>
              </w:rPr>
              <w:t>01-threat-model/Project1_Threat_Model_Report.md</w:t>
            </w:r>
          </w:p>
        </w:tc>
      </w:tr>
      <w:tr>
        <w:tc>
          <w:tcPr>
            <w:tcW w:type="dxa" w:w="3120"/>
            <w:tcMar>
              <w:top w:w="80" w:type="dxa"/>
              <w:bottom w:w="80" w:type="dxa"/>
              <w:left w:w="100" w:type="dxa"/>
              <w:right w:w="100" w:type="dxa"/>
            </w:tcMar>
            <w:shd w:fill="F8FAFC"/>
          </w:tcPr>
          <w:p>
            <w:r>
              <w:rPr>
                <w:sz w:val="19"/>
              </w:rPr>
              <w:t>MEASURE</w:t>
            </w:r>
          </w:p>
        </w:tc>
        <w:tc>
          <w:tcPr>
            <w:tcW w:type="dxa" w:w="3120"/>
            <w:tcMar>
              <w:top w:w="80" w:type="dxa"/>
              <w:bottom w:w="80" w:type="dxa"/>
              <w:left w:w="100" w:type="dxa"/>
              <w:right w:w="100" w:type="dxa"/>
            </w:tcMar>
            <w:shd w:fill="F8FAFC"/>
          </w:tcPr>
          <w:p>
            <w:r>
              <w:rPr>
                <w:sz w:val="19"/>
              </w:rPr>
              <w:t>Red team vulnerability assessments, CVSS 3.1 base scoring, MITRE ATLAS technique mapping</w:t>
            </w:r>
          </w:p>
        </w:tc>
        <w:tc>
          <w:tcPr>
            <w:tcW w:type="dxa" w:w="3120"/>
            <w:tcMar>
              <w:top w:w="80" w:type="dxa"/>
              <w:bottom w:w="80" w:type="dxa"/>
              <w:left w:w="100" w:type="dxa"/>
              <w:right w:w="100" w:type="dxa"/>
            </w:tcMar>
            <w:shd w:fill="F8FAFC"/>
          </w:tcPr>
          <w:p>
            <w:r>
              <w:rPr>
                <w:sz w:val="19"/>
              </w:rPr>
              <w:t>03-red-team/project_3_red_team/cvss_atlas_report.md</w:t>
            </w:r>
          </w:p>
        </w:tc>
      </w:tr>
      <w:tr>
        <w:tc>
          <w:tcPr>
            <w:tcW w:type="dxa" w:w="3120"/>
            <w:tcMar>
              <w:top w:w="80" w:type="dxa"/>
              <w:bottom w:w="80" w:type="dxa"/>
              <w:left w:w="100" w:type="dxa"/>
              <w:right w:w="100" w:type="dxa"/>
            </w:tcMar>
            <w:shd w:fill="FFFFFF"/>
          </w:tcPr>
          <w:p>
            <w:r>
              <w:rPr>
                <w:sz w:val="19"/>
              </w:rPr>
              <w:t>MANAGE</w:t>
            </w:r>
          </w:p>
        </w:tc>
        <w:tc>
          <w:tcPr>
            <w:tcW w:type="dxa" w:w="3120"/>
            <w:tcMar>
              <w:top w:w="80" w:type="dxa"/>
              <w:bottom w:w="80" w:type="dxa"/>
              <w:left w:w="100" w:type="dxa"/>
              <w:right w:w="100" w:type="dxa"/>
            </w:tcMar>
            <w:shd w:fill="FFFFFF"/>
          </w:tcPr>
          <w:p>
            <w:r>
              <w:rPr>
                <w:sz w:val="19"/>
              </w:rPr>
              <w:t>Dual-layer guardrails, Ed25519 cryptographic binding, Auth0 300s TTL, Anomaly detection</w:t>
            </w:r>
          </w:p>
        </w:tc>
        <w:tc>
          <w:tcPr>
            <w:tcW w:type="dxa" w:w="3120"/>
            <w:tcMar>
              <w:top w:w="80" w:type="dxa"/>
              <w:bottom w:w="80" w:type="dxa"/>
              <w:left w:w="100" w:type="dxa"/>
              <w:right w:w="100" w:type="dxa"/>
            </w:tcMar>
            <w:shd w:fill="FFFFFF"/>
          </w:tcPr>
          <w:p>
            <w:r>
              <w:rPr>
                <w:sz w:val="19"/>
              </w:rPr>
              <w:t>04-blue-team/guardrails_engine.py</w:t>
            </w:r>
          </w:p>
        </w:tc>
      </w:tr>
    </w:tbl>
    <w:p>
      <w:pPr>
        <w:pStyle w:val="Heading1"/>
        <w:spacing w:before="360" w:after="160"/>
      </w:pPr>
      <w:r>
        <w:rPr>
          <w:color w:val="10366E"/>
          <w:sz w:val="32"/>
        </w:rPr>
        <w:t>9. Policy Enforcement, Exceptions &amp; Disciplinary Actions</w:t>
      </w:r>
    </w:p>
    <w:p>
      <w:r>
        <w:t>1. Mandatory Compliance: Compliance with this policy is mandatory across all SecureNova production and pre-production AI environments.</w:t>
        <w:br/>
        <w:t>2. Automated Enforcement: Technical controls (IAM policies, pre-commit scanners, guardrails, KMS rotation) shall enforce compliance automatically.</w:t>
        <w:br/>
        <w:t>3. Policy Exception Workflow: Any technical exception (e.g., legacy system unable to support Ed25519 signing) requires:</w:t>
        <w:br/>
        <w:t xml:space="preserve">   - Documented business justification and compensating control proposal,</w:t>
        <w:br/>
        <w:t xml:space="preserve">   - Formal Risk Assessment conducted by the AI Identity Security Lead,</w:t>
        <w:br/>
        <w:t xml:space="preserve">   - Explicit written approval from the CISO,</w:t>
        <w:br/>
        <w:t xml:space="preserve">   - Maximum exception duration of 90 calendar days.</w:t>
        <w:br/>
        <w:t>4. Disciplinary Actions: Intentional bypass of AI identity controls, embedding credentials in prompts, or disabling guardrails constitutes a severe security violation subject to disciplinary action up to and including termination of employment and legal action.</w:t>
      </w:r>
    </w:p>
    <w:p>
      <w:pPr>
        <w:pStyle w:val="Heading1"/>
        <w:spacing w:before="360" w:after="160"/>
      </w:pPr>
      <w:r>
        <w:rPr>
          <w:color w:val="10366E"/>
          <w:sz w:val="32"/>
        </w:rPr>
        <w:t>10. Annual Review Schedule &amp; References</w:t>
      </w:r>
    </w:p>
    <w:p>
      <w:r>
        <w:t>1. Review Cadence: This policy shall be reviewed annually by the AI Identity Security Lead and approved by the CISO. Triggered reviews occur upon major architectural modifications or security incidents.</w:t>
        <w:br/>
        <w:t>2. Normative References:</w:t>
        <w:br/>
        <w:t xml:space="preserve">   - NIST AI Risk Management Framework (NIST AI RMF 1.0, NIST SP 1270)</w:t>
        <w:br/>
        <w:t xml:space="preserve">   - OWASP Top 10 for Large Language Model Applications (2025 Edition)</w:t>
        <w:br/>
        <w:t xml:space="preserve">   - MITRE ATLAS (Adversarial Threat Landscape for Artificial-Intelligence Systems)</w:t>
        <w:br/>
        <w:t xml:space="preserve">   - RFC 6749 (The OAuth 2.0 Authorization Framework) &amp; RFC 7636 (PKCE)</w:t>
        <w:br/>
        <w:t xml:space="preserve">   - RFC 8032 (Edwards-Curve Digital Signature Algorithm - Ed25519)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