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CREDIT APPRAISAL MEMO</w:t>
      </w:r>
    </w:p>
    <w:p>
      <w:pPr>
        <w:pStyle w:val="Heading2"/>
      </w:pPr>
      <w:r>
        <w:t>1. Executive Summary</w:t>
      </w:r>
    </w:p>
    <w:p>
      <w:r>
        <w:t>TATA STEEL LIMITED operates in the steel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39.85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p>
      <w:r>
        <w:t>| Attribute | Details |</w:t>
      </w:r>
    </w:p>
    <w:p>
      <w:r>
        <w:t>| --- | --- |</w:t>
      </w:r>
    </w:p>
    <w:p>
      <w:r>
        <w:t>| Company Name | TATA STEEL LIMITED |</w:t>
      </w:r>
    </w:p>
    <w:p>
      <w:r>
        <w:t>| CIN | L27100MH1907PLC000260 |</w:t>
      </w:r>
    </w:p>
    <w:p>
      <w:r>
        <w:t>| Industry | steel |</w:t>
      </w:r>
    </w:p>
    <w:p>
      <w:r>
        <w:t>| Business Type | Corporate Borrower |</w:t>
      </w:r>
    </w:p>
    <w:p>
      <w:r>
        <w:t>| Key Operations | Manufacturing, supply chain execution, customer servicing |</w:t>
      </w:r>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p>
      <w:r>
        <w:t>| Financial Metric | Value |</w:t>
      </w:r>
    </w:p>
    <w:p>
      <w:r>
        <w:t>| --- | --- |</w:t>
      </w:r>
    </w:p>
    <w:p>
      <w:r>
        <w:t>| Revenue | 0.00 |</w:t>
      </w:r>
    </w:p>
    <w:p>
      <w:r>
        <w:t>| EBITDA | 0.00 |</w:t>
      </w:r>
    </w:p>
    <w:p>
      <w:r>
        <w:t>| Net Profit | 0.00 |</w:t>
      </w:r>
    </w:p>
    <w:p>
      <w:r>
        <w:t>| Total Assets | 0.00 |</w:t>
      </w:r>
    </w:p>
    <w:p>
      <w:r>
        <w:t>| Total Debt | 0.00 |</w:t>
      </w:r>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p>
      <w:r>
        <w:t>| Credit Factor | Evaluation |</w:t>
      </w:r>
    </w:p>
    <w:p>
      <w:r>
        <w:t>| --- | --- |</w:t>
      </w:r>
    </w:p>
    <w:p>
      <w:r>
        <w:t>| Character | Moderate confidence; governance oversight required |</w:t>
      </w:r>
    </w:p>
    <w:p>
      <w:r>
        <w:t>| Capacity | Cash-flow resilience requires structured repayment controls |</w:t>
      </w:r>
    </w:p>
    <w:p>
      <w:r>
        <w:t>| Capital | Balance-sheet flexibility appears constrained under stress |</w:t>
      </w:r>
    </w:p>
    <w:p>
      <w:r>
        <w:t>| Collateral | Must be validated for enforceability and coverage sufficiency |</w:t>
      </w:r>
    </w:p>
    <w:p>
      <w:r>
        <w:t>| Conditions | Sector and legal context justify conservative sanction terms |</w:t>
      </w:r>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p>
      <w:r>
        <w:t>| Component | Weight | Score |</w:t>
      </w:r>
    </w:p>
    <w:p>
      <w:r>
        <w:t>| --- | --- | --- |</w:t>
      </w:r>
    </w:p>
    <w:p>
      <w:r>
        <w:t>| Financial Strength | 30% | 0.0 |</w:t>
      </w:r>
    </w:p>
    <w:p>
      <w:r>
        <w:t>| Legal Risk | 20% | 75.0 |</w:t>
      </w:r>
    </w:p>
    <w:p>
      <w:r>
        <w:t>| Promoter Strength | 20% | 75.0 |</w:t>
      </w:r>
    </w:p>
    <w:p>
      <w:r>
        <w:t>| Operational Capacity | 15% | 0.0 |</w:t>
      </w:r>
    </w:p>
    <w:p>
      <w:r>
        <w:t>| Industry Risk | 15% | 75.0 |</w:t>
      </w:r>
    </w:p>
    <w:p>
      <w:r>
        <w:t>Final Weighted Risk Score: **39.85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p>
      <w:r>
        <w:t>| Loan Parameter | Value |</w:t>
      </w:r>
    </w:p>
    <w:p>
      <w:r>
        <w:t>| --- | --- |</w:t>
      </w:r>
    </w:p>
    <w:p>
      <w:r>
        <w:t>| Recommended Loan Amount | 0.00 |</w:t>
      </w:r>
    </w:p>
    <w:p>
      <w:r>
        <w:t>| Suggested Interest Rate | 15.00% |</w:t>
      </w:r>
    </w:p>
    <w:p>
      <w:r>
        <w:t>| Risk Category | High Risk |</w:t>
      </w:r>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Additional analyst narrative:</w:t>
      </w:r>
    </w:p>
    <w:p>
      <w:r>
        <w:t>Test observations</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