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APPRAISAL MEMO</w:t>
      </w:r>
    </w:p>
    <w:p>
      <w:pPr>
        <w:jc w:val="center"/>
      </w:pPr>
      <w:r>
        <w:rPr>
          <w:color w:val="33475B"/>
          <w:sz w:val="22"/>
        </w:rPr>
        <w:t>INTELLI-CREDIT AI Corporate Lending Assessment</w:t>
      </w:r>
    </w:p>
    <w:p/>
    <w:p>
      <w:pPr>
        <w:jc w:val="center"/>
      </w:pPr>
      <w:r>
        <w:rPr>
          <w:b/>
        </w:rPr>
        <w:t>Company: Smoke Test Industries</w:t>
        <w:br/>
      </w:r>
      <w:r>
        <w:t>CIN: SMOKE1234567</w:t>
        <w:br/>
      </w:r>
      <w:r>
        <w:t>Industry: Manufacturing</w:t>
        <w:br/>
      </w:r>
      <w:r>
        <w:t>Generated On: 08-Mar-2026 16:30:36</w:t>
      </w:r>
    </w:p>
    <w:p>
      <w:r>
        <w:br w:type="page"/>
      </w:r>
    </w:p>
    <w:p>
      <w:pPr>
        <w:pStyle w:val="Heading1"/>
      </w:pPr>
      <w:r>
        <w:t>CREDIT APPRAISAL MEMO</w:t>
      </w:r>
    </w:p>
    <w:p>
      <w:pPr>
        <w:pStyle w:val="Heading2"/>
      </w:pPr>
      <w:r>
        <w:t>1. Executive Summary</w:t>
      </w:r>
    </w:p>
    <w:p>
      <w:r>
        <w:t>Smoke Test Industries operates in the Manufacturing segment and was reviewed using a structured underwriting framework that combines financial analysis, legal-risk screening, promoter signal interpretation, sector context, and credit officer observations. This memo has been generated in a credit-committee ready format to support an informed lending decision and ensure transparency in the reasoning trail behind the recommendation.</w:t>
      </w:r>
    </w:p>
    <w:p>
      <w:r>
        <w:t>The overall AI-assisted evaluation indicates a final weighted score of 41.25 out of 100, placing the borrower in the High Risk category under the current policy thresholds. Core constraints identified in this cycle include profitability pressure, leverage sensitivity, and legal/regulatory uncertainty as reflected in the legal and promoter components of the model. While the applicant demonstrates business continuity potential, lending terms must remain aligned with conservative risk governance.</w:t>
      </w:r>
    </w:p>
    <w:p>
      <w:r>
        <w:t>From a decision perspective, the recommendation at this stage is **Rejected**. This conclusion is based on a blended interpretation of quantitative strength factors and qualitative risk triggers, including external research and credit officer commentary. The remainder of this memo details each component in a section-wise format for committee deliberation, covenant planning, and final sanction strategy.</w:t>
      </w:r>
    </w:p>
    <w:p>
      <w:pPr>
        <w:pStyle w:val="Heading2"/>
      </w:pPr>
      <w:r>
        <w:t>2. Company Overview</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Attribute</w:t>
            </w:r>
          </w:p>
        </w:tc>
        <w:tc>
          <w:tcPr>
            <w:tcW w:type="dxa" w:w="4320"/>
            <w:shd w:fill="DCE6F1"/>
          </w:tcPr>
          <w:p>
            <w:r>
              <w:rPr>
                <w:b/>
              </w:rPr>
              <w:t>Details</w:t>
            </w:r>
          </w:p>
        </w:tc>
      </w:tr>
      <w:tr>
        <w:tc>
          <w:tcPr>
            <w:tcW w:type="dxa" w:w="4320"/>
          </w:tcPr>
          <w:p>
            <w:r>
              <w:t>Company Name</w:t>
            </w:r>
          </w:p>
        </w:tc>
        <w:tc>
          <w:tcPr>
            <w:tcW w:type="dxa" w:w="4320"/>
          </w:tcPr>
          <w:p>
            <w:r>
              <w:t>Smoke Test Industries</w:t>
            </w:r>
          </w:p>
        </w:tc>
      </w:tr>
      <w:tr>
        <w:tc>
          <w:tcPr>
            <w:tcW w:type="dxa" w:w="4320"/>
          </w:tcPr>
          <w:p>
            <w:r>
              <w:t>CIN</w:t>
            </w:r>
          </w:p>
        </w:tc>
        <w:tc>
          <w:tcPr>
            <w:tcW w:type="dxa" w:w="4320"/>
          </w:tcPr>
          <w:p>
            <w:r>
              <w:t>SMOKE1234567</w:t>
            </w:r>
          </w:p>
        </w:tc>
      </w:tr>
      <w:tr>
        <w:tc>
          <w:tcPr>
            <w:tcW w:type="dxa" w:w="4320"/>
          </w:tcPr>
          <w:p>
            <w:r>
              <w:t>Industry</w:t>
            </w:r>
          </w:p>
        </w:tc>
        <w:tc>
          <w:tcPr>
            <w:tcW w:type="dxa" w:w="4320"/>
          </w:tcPr>
          <w:p>
            <w:r>
              <w:t>Manufacturing</w:t>
            </w:r>
          </w:p>
        </w:tc>
      </w:tr>
      <w:tr>
        <w:tc>
          <w:tcPr>
            <w:tcW w:type="dxa" w:w="4320"/>
          </w:tcPr>
          <w:p>
            <w:r>
              <w:t>Business Type</w:t>
            </w:r>
          </w:p>
        </w:tc>
        <w:tc>
          <w:tcPr>
            <w:tcW w:type="dxa" w:w="4320"/>
          </w:tcPr>
          <w:p>
            <w:r>
              <w:t>Corporate Borrower</w:t>
            </w:r>
          </w:p>
        </w:tc>
      </w:tr>
      <w:tr>
        <w:tc>
          <w:tcPr>
            <w:tcW w:type="dxa" w:w="4320"/>
          </w:tcPr>
          <w:p>
            <w:r>
              <w:t>Key Operations</w:t>
            </w:r>
          </w:p>
        </w:tc>
        <w:tc>
          <w:tcPr>
            <w:tcW w:type="dxa" w:w="4320"/>
          </w:tcPr>
          <w:p>
            <w:r>
              <w:t>Manufacturing, supply chain execution, customer servicing</w:t>
            </w:r>
          </w:p>
        </w:tc>
      </w:tr>
    </w:tbl>
    <w:p/>
    <w:p>
      <w:r>
        <w:t>The applicant appears to operate through established commercial channels with a formal corporate identity and identifiable operating profile. Based on available records and uploaded documentation, the company maintains transaction activity and market participation but requires closer underwriting controls around debt service resilience and downside stress capacity.</w:t>
      </w:r>
    </w:p>
    <w:p>
      <w:r>
        <w:t>The business profile suggests that earnings visibility is influenced by input cycles, customer demand, and sector momentum. In committee terms, this is a profile where lending viability can improve when documentation quality, collateral comfort, and repayment structure are strengthened through condition-based sanctioning.</w:t>
      </w:r>
    </w:p>
    <w:p>
      <w:pPr>
        <w:pStyle w:val="Heading2"/>
      </w:pPr>
      <w:r>
        <w:t>3. Promoter Analysis</w:t>
      </w:r>
    </w:p>
    <w:p>
      <w:r>
        <w:t>Promoter and governance quality were reviewed through available external intelligence and risk signal interpretation. The promoter strength score indicates the need for measured confidence rather than full risk comfort, suggesting that credibility is serviceable but not free from monitoring requirements.</w:t>
      </w:r>
    </w:p>
    <w:p>
      <w:r>
        <w:t>Key observations include governance sensitivity under adverse scenarios, dependence on management discipline for cash controls, and potential reputation drag where legal or market narratives deteriorate. As a result, promoter quality should be treated as a moderate-to-elevated risk lever in sanction structuring.</w:t>
      </w:r>
    </w:p>
    <w:p>
      <w:r>
        <w:t>Recommended committee stance for promoter assessment:</w:t>
      </w:r>
    </w:p>
    <w:p>
      <w:pPr>
        <w:pStyle w:val="ListBullet"/>
      </w:pPr>
      <w:r>
        <w:t>require periodic management information and covenant reporting;</w:t>
      </w:r>
    </w:p>
    <w:p>
      <w:pPr>
        <w:pStyle w:val="ListBullet"/>
      </w:pPr>
      <w:r>
        <w:t>monitor governance red flags and litigation references quarterly;</w:t>
      </w:r>
    </w:p>
    <w:p>
      <w:pPr>
        <w:pStyle w:val="ListBullet"/>
      </w:pPr>
      <w:r>
        <w:t>calibrate disbursement and review triggers to promoter conduct indicators.</w:t>
      </w:r>
    </w:p>
    <w:p>
      <w:pPr>
        <w:pStyle w:val="Heading2"/>
      </w:pPr>
      <w:r>
        <w:t>4. Financial Analysis</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Financial Metric</w:t>
            </w:r>
          </w:p>
        </w:tc>
        <w:tc>
          <w:tcPr>
            <w:tcW w:type="dxa" w:w="4320"/>
            <w:shd w:fill="DCE6F1"/>
          </w:tcPr>
          <w:p>
            <w:r>
              <w:rPr>
                <w:b/>
              </w:rPr>
              <w:t>Value</w:t>
            </w:r>
          </w:p>
        </w:tc>
      </w:tr>
      <w:tr>
        <w:tc>
          <w:tcPr>
            <w:tcW w:type="dxa" w:w="4320"/>
          </w:tcPr>
          <w:p>
            <w:r>
              <w:t>Revenue</w:t>
            </w:r>
          </w:p>
        </w:tc>
        <w:tc>
          <w:tcPr>
            <w:tcW w:type="dxa" w:w="4320"/>
          </w:tcPr>
          <w:p>
            <w:r>
              <w:t>0.00</w:t>
            </w:r>
          </w:p>
        </w:tc>
      </w:tr>
      <w:tr>
        <w:tc>
          <w:tcPr>
            <w:tcW w:type="dxa" w:w="4320"/>
          </w:tcPr>
          <w:p>
            <w:r>
              <w:t>EBITDA</w:t>
            </w:r>
          </w:p>
        </w:tc>
        <w:tc>
          <w:tcPr>
            <w:tcW w:type="dxa" w:w="4320"/>
          </w:tcPr>
          <w:p>
            <w:r>
              <w:t>0.00</w:t>
            </w:r>
          </w:p>
        </w:tc>
      </w:tr>
      <w:tr>
        <w:tc>
          <w:tcPr>
            <w:tcW w:type="dxa" w:w="4320"/>
          </w:tcPr>
          <w:p>
            <w:r>
              <w:t>Net Profit</w:t>
            </w:r>
          </w:p>
        </w:tc>
        <w:tc>
          <w:tcPr>
            <w:tcW w:type="dxa" w:w="4320"/>
          </w:tcPr>
          <w:p>
            <w:r>
              <w:t>0.00</w:t>
            </w:r>
          </w:p>
        </w:tc>
      </w:tr>
      <w:tr>
        <w:tc>
          <w:tcPr>
            <w:tcW w:type="dxa" w:w="4320"/>
          </w:tcPr>
          <w:p>
            <w:r>
              <w:t>Total Assets</w:t>
            </w:r>
          </w:p>
        </w:tc>
        <w:tc>
          <w:tcPr>
            <w:tcW w:type="dxa" w:w="4320"/>
          </w:tcPr>
          <w:p>
            <w:r>
              <w:t>0.00</w:t>
            </w:r>
          </w:p>
        </w:tc>
      </w:tr>
      <w:tr>
        <w:tc>
          <w:tcPr>
            <w:tcW w:type="dxa" w:w="4320"/>
          </w:tcPr>
          <w:p>
            <w:r>
              <w:t>Total Debt</w:t>
            </w:r>
          </w:p>
        </w:tc>
        <w:tc>
          <w:tcPr>
            <w:tcW w:type="dxa" w:w="4320"/>
          </w:tcPr>
          <w:p>
            <w:r>
              <w:t>0.00</w:t>
            </w:r>
          </w:p>
        </w:tc>
      </w:tr>
    </w:tbl>
    <w:p/>
    <w:p>
      <w:r>
        <w:t>The financial framework indicates stress in margin strength and leverage-adjusted durability. Even where topline activity exists, net profit conversion and debt load behavior remain critical to credit quality. Underwriting confidence is therefore more sensitive to repayment mechanics and covenant architecture than to revenue visibility alone.</w:t>
      </w:r>
    </w:p>
    <w:p>
      <w:r>
        <w:t>From a banking perspective, this profile benefits from conservative cash-flow assumptions, debt service coverage monitoring, and staged exposure build-up. The committee should prioritize structural safeguards including amortization discipline, drawdown controls, and periodic ratio-based review. These actions are necessary to offset uncertainty in profitability persistence and ensure that downside scenarios remain manageable.</w:t>
      </w:r>
    </w:p>
    <w:p>
      <w:pPr>
        <w:pStyle w:val="Heading2"/>
      </w:pPr>
      <w:r>
        <w:t>5. Industry Risk Assessment</w:t>
      </w:r>
    </w:p>
    <w:p>
      <w:r>
        <w:t>Industry risk must be interpreted through demand cyclicality, policy exposure, and competitive pressure. Current sector signals indicate mixed conditions: structural demand pockets may exist, but volatility and regulatory influence can meaningfully alter risk outcomes over a medium-term horizon.</w:t>
      </w:r>
    </w:p>
    <w:p>
      <w:r>
        <w:t>The industry strength score in this case is 75.0, which implies that sector context is not fully neutral and requires active risk buffering. Growth potential can be captured if execution remains disciplined, but the lending structure should assume periodic stress and not rely on uninterrupted favorable market conditions.</w:t>
      </w:r>
    </w:p>
    <w:p>
      <w:r>
        <w:t>Committee interpretation:</w:t>
      </w:r>
    </w:p>
    <w:p>
      <w:pPr>
        <w:pStyle w:val="ListBullet"/>
      </w:pPr>
      <w:r>
        <w:t>lending terms should include sector-aware stress buffers;</w:t>
      </w:r>
    </w:p>
    <w:p>
      <w:pPr>
        <w:pStyle w:val="ListBullet"/>
      </w:pPr>
      <w:r>
        <w:t>pricing should reflect volatility, not only base-case performance;</w:t>
      </w:r>
    </w:p>
    <w:p>
      <w:pPr>
        <w:pStyle w:val="ListBullet"/>
      </w:pPr>
      <w:r>
        <w:t>monitoring cadence should increase when market conditions soften.</w:t>
      </w:r>
    </w:p>
    <w:p>
      <w:pPr>
        <w:pStyle w:val="Heading2"/>
      </w:pPr>
      <w:r>
        <w:t>6. Legal Risk Assessment</w:t>
      </w:r>
    </w:p>
    <w:p>
      <w:r>
        <w:t>Legal and compliance indicators represent a material decision variable in this appraisal cycle. The legal strength score of 75.0 suggests that legal exposure is a live underwriting consideration and cannot be treated as peripheral.</w:t>
      </w:r>
    </w:p>
    <w:p>
      <w:r>
        <w:t>Any active litigation references, regulatory narratives, or dispute patterns increase execution risk, recovery complexity, and operational friction. Even where legal events are not immediately severe, recurring signals can elevate uncertainty in borrower behavior and covenant adherence.</w:t>
      </w:r>
    </w:p>
    <w:p>
      <w:r>
        <w:t>Recommended committee stance:</w:t>
      </w:r>
    </w:p>
    <w:p>
      <w:pPr>
        <w:pStyle w:val="ListBullet"/>
      </w:pPr>
      <w:r>
        <w:t>seek explicit disclosures on open legal matters;</w:t>
      </w:r>
    </w:p>
    <w:p>
      <w:pPr>
        <w:pStyle w:val="ListBullet"/>
      </w:pPr>
      <w:r>
        <w:t>incorporate legal covenant triggers for adverse developments;</w:t>
      </w:r>
    </w:p>
    <w:p>
      <w:pPr>
        <w:pStyle w:val="ListBullet"/>
      </w:pPr>
      <w:r>
        <w:t>maintain tighter review rights until legal clarity improves.</w:t>
      </w:r>
    </w:p>
    <w:p>
      <w:pPr>
        <w:pStyle w:val="Heading2"/>
      </w:pPr>
      <w:r>
        <w:t>7. Five Cs of Credit Evaluation</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Credit Factor</w:t>
            </w:r>
          </w:p>
        </w:tc>
        <w:tc>
          <w:tcPr>
            <w:tcW w:type="dxa" w:w="4320"/>
            <w:shd w:fill="DCE6F1"/>
          </w:tcPr>
          <w:p>
            <w:r>
              <w:rPr>
                <w:b/>
              </w:rPr>
              <w:t>Evaluation</w:t>
            </w:r>
          </w:p>
        </w:tc>
      </w:tr>
      <w:tr>
        <w:tc>
          <w:tcPr>
            <w:tcW w:type="dxa" w:w="4320"/>
          </w:tcPr>
          <w:p>
            <w:r>
              <w:t>Character</w:t>
            </w:r>
          </w:p>
        </w:tc>
        <w:tc>
          <w:tcPr>
            <w:tcW w:type="dxa" w:w="4320"/>
          </w:tcPr>
          <w:p>
            <w:r>
              <w:t>Moderate confidence; governance oversight required</w:t>
            </w:r>
          </w:p>
        </w:tc>
      </w:tr>
      <w:tr>
        <w:tc>
          <w:tcPr>
            <w:tcW w:type="dxa" w:w="4320"/>
          </w:tcPr>
          <w:p>
            <w:r>
              <w:t>Capacity</w:t>
            </w:r>
          </w:p>
        </w:tc>
        <w:tc>
          <w:tcPr>
            <w:tcW w:type="dxa" w:w="4320"/>
          </w:tcPr>
          <w:p>
            <w:r>
              <w:t>Cash-flow resilience requires structured repayment controls</w:t>
            </w:r>
          </w:p>
        </w:tc>
      </w:tr>
      <w:tr>
        <w:tc>
          <w:tcPr>
            <w:tcW w:type="dxa" w:w="4320"/>
          </w:tcPr>
          <w:p>
            <w:r>
              <w:t>Capital</w:t>
            </w:r>
          </w:p>
        </w:tc>
        <w:tc>
          <w:tcPr>
            <w:tcW w:type="dxa" w:w="4320"/>
          </w:tcPr>
          <w:p>
            <w:r>
              <w:t>Balance-sheet flexibility appears constrained under stress</w:t>
            </w:r>
          </w:p>
        </w:tc>
      </w:tr>
      <w:tr>
        <w:tc>
          <w:tcPr>
            <w:tcW w:type="dxa" w:w="4320"/>
          </w:tcPr>
          <w:p>
            <w:r>
              <w:t>Collateral</w:t>
            </w:r>
          </w:p>
        </w:tc>
        <w:tc>
          <w:tcPr>
            <w:tcW w:type="dxa" w:w="4320"/>
          </w:tcPr>
          <w:p>
            <w:r>
              <w:t>Must be validated for enforceability and coverage sufficiency</w:t>
            </w:r>
          </w:p>
        </w:tc>
      </w:tr>
      <w:tr>
        <w:tc>
          <w:tcPr>
            <w:tcW w:type="dxa" w:w="4320"/>
          </w:tcPr>
          <w:p>
            <w:r>
              <w:t>Conditions</w:t>
            </w:r>
          </w:p>
        </w:tc>
        <w:tc>
          <w:tcPr>
            <w:tcW w:type="dxa" w:w="4320"/>
          </w:tcPr>
          <w:p>
            <w:r>
              <w:t>Sector and legal context justify conservative sanction terms</w:t>
            </w:r>
          </w:p>
        </w:tc>
      </w:tr>
    </w:tbl>
    <w:p/>
    <w:p>
      <w:r>
        <w:t>The Five Cs assessment supports a cautious underwriting stance. Character and capacity are not weak by default but require observable evidence over time. Capital and collateral quality should be tested against downside assumptions rather than nominal values. Conditions remain sensitive to both market and legal developments, reinforcing the need for structured sanction architecture.</w:t>
      </w:r>
    </w:p>
    <w:p>
      <w:pPr>
        <w:pStyle w:val="Heading2"/>
      </w:pPr>
      <w:r>
        <w:t>8. Risk Scorecard</w:t>
      </w:r>
    </w:p>
    <w:tbl>
      <w:tblPr>
        <w:tblStyle w:val="TableGrid"/>
        <w:tblW w:type="auto" w:w="0"/>
        <w:tblLook w:firstColumn="1" w:firstRow="1" w:lastColumn="0" w:lastRow="0" w:noHBand="0" w:noVBand="1" w:val="04A0"/>
      </w:tblPr>
      <w:tblGrid>
        <w:gridCol w:w="2880"/>
        <w:gridCol w:w="2880"/>
        <w:gridCol w:w="2880"/>
      </w:tblGrid>
      <w:tr>
        <w:tc>
          <w:tcPr>
            <w:tcW w:type="dxa" w:w="2880"/>
            <w:shd w:fill="DCE6F1"/>
          </w:tcPr>
          <w:p>
            <w:r>
              <w:rPr>
                <w:b/>
              </w:rPr>
              <w:t>Component</w:t>
            </w:r>
          </w:p>
        </w:tc>
        <w:tc>
          <w:tcPr>
            <w:tcW w:type="dxa" w:w="2880"/>
            <w:shd w:fill="DCE6F1"/>
          </w:tcPr>
          <w:p>
            <w:r>
              <w:rPr>
                <w:b/>
              </w:rPr>
              <w:t>Weight</w:t>
            </w:r>
          </w:p>
        </w:tc>
        <w:tc>
          <w:tcPr>
            <w:tcW w:type="dxa" w:w="2880"/>
            <w:shd w:fill="DCE6F1"/>
          </w:tcPr>
          <w:p>
            <w:r>
              <w:rPr>
                <w:b/>
              </w:rPr>
              <w:t>Score</w:t>
            </w:r>
          </w:p>
        </w:tc>
      </w:tr>
      <w:tr>
        <w:tc>
          <w:tcPr>
            <w:tcW w:type="dxa" w:w="2880"/>
          </w:tcPr>
          <w:p>
            <w:r>
              <w:t>Financial Strength</w:t>
            </w:r>
          </w:p>
        </w:tc>
        <w:tc>
          <w:tcPr>
            <w:tcW w:type="dxa" w:w="2880"/>
          </w:tcPr>
          <w:p>
            <w:r>
              <w:t>30%</w:t>
            </w:r>
          </w:p>
        </w:tc>
        <w:tc>
          <w:tcPr>
            <w:tcW w:type="dxa" w:w="2880"/>
          </w:tcPr>
          <w:p>
            <w:r>
              <w:t>0.0</w:t>
            </w:r>
          </w:p>
        </w:tc>
      </w:tr>
      <w:tr>
        <w:tc>
          <w:tcPr>
            <w:tcW w:type="dxa" w:w="2880"/>
          </w:tcPr>
          <w:p>
            <w:r>
              <w:t>Legal Risk</w:t>
            </w:r>
          </w:p>
        </w:tc>
        <w:tc>
          <w:tcPr>
            <w:tcW w:type="dxa" w:w="2880"/>
          </w:tcPr>
          <w:p>
            <w:r>
              <w:t>20%</w:t>
            </w:r>
          </w:p>
        </w:tc>
        <w:tc>
          <w:tcPr>
            <w:tcW w:type="dxa" w:w="2880"/>
          </w:tcPr>
          <w:p>
            <w:r>
              <w:t>75.0</w:t>
            </w:r>
          </w:p>
        </w:tc>
      </w:tr>
      <w:tr>
        <w:tc>
          <w:tcPr>
            <w:tcW w:type="dxa" w:w="2880"/>
          </w:tcPr>
          <w:p>
            <w:r>
              <w:t>Promoter Strength</w:t>
            </w:r>
          </w:p>
        </w:tc>
        <w:tc>
          <w:tcPr>
            <w:tcW w:type="dxa" w:w="2880"/>
          </w:tcPr>
          <w:p>
            <w:r>
              <w:t>20%</w:t>
            </w:r>
          </w:p>
        </w:tc>
        <w:tc>
          <w:tcPr>
            <w:tcW w:type="dxa" w:w="2880"/>
          </w:tcPr>
          <w:p>
            <w:r>
              <w:t>75.0</w:t>
            </w:r>
          </w:p>
        </w:tc>
      </w:tr>
      <w:tr>
        <w:tc>
          <w:tcPr>
            <w:tcW w:type="dxa" w:w="2880"/>
          </w:tcPr>
          <w:p>
            <w:r>
              <w:t>Operational Capacity</w:t>
            </w:r>
          </w:p>
        </w:tc>
        <w:tc>
          <w:tcPr>
            <w:tcW w:type="dxa" w:w="2880"/>
          </w:tcPr>
          <w:p>
            <w:r>
              <w:t>15%</w:t>
            </w:r>
          </w:p>
        </w:tc>
        <w:tc>
          <w:tcPr>
            <w:tcW w:type="dxa" w:w="2880"/>
          </w:tcPr>
          <w:p>
            <w:r>
              <w:t>0.0</w:t>
            </w:r>
          </w:p>
        </w:tc>
      </w:tr>
      <w:tr>
        <w:tc>
          <w:tcPr>
            <w:tcW w:type="dxa" w:w="2880"/>
          </w:tcPr>
          <w:p>
            <w:r>
              <w:t>Industry Risk</w:t>
            </w:r>
          </w:p>
        </w:tc>
        <w:tc>
          <w:tcPr>
            <w:tcW w:type="dxa" w:w="2880"/>
          </w:tcPr>
          <w:p>
            <w:r>
              <w:t>15%</w:t>
            </w:r>
          </w:p>
        </w:tc>
        <w:tc>
          <w:tcPr>
            <w:tcW w:type="dxa" w:w="2880"/>
          </w:tcPr>
          <w:p>
            <w:r>
              <w:t>75.0</w:t>
            </w:r>
          </w:p>
        </w:tc>
      </w:tr>
    </w:tbl>
    <w:p/>
    <w:p>
      <w:r>
        <w:t>Final Weighted Risk Score: **41.25 / 100**</w:t>
      </w:r>
    </w:p>
    <w:p>
      <w:r>
        <w:t>Interpretation: the composite score indicates that credit risk is elevated relative to standard approval comfort and requires either rejection or conditional structuring with stronger safeguards, depending on policy tolerance and collateral support.</w:t>
      </w:r>
    </w:p>
    <w:p>
      <w:pPr>
        <w:pStyle w:val="Heading2"/>
      </w:pPr>
      <w:r>
        <w:t>9. Loan Recommendation</w:t>
      </w:r>
    </w:p>
    <w:p>
      <w:r>
        <w:t>Decision: **Rejected**</w:t>
      </w:r>
    </w:p>
    <w:tbl>
      <w:tblPr>
        <w:tblStyle w:val="TableGrid"/>
        <w:tblW w:type="auto" w:w="0"/>
        <w:tblLook w:firstColumn="1" w:firstRow="1" w:lastColumn="0" w:lastRow="0" w:noHBand="0" w:noVBand="1" w:val="04A0"/>
      </w:tblPr>
      <w:tblGrid>
        <w:gridCol w:w="4320"/>
        <w:gridCol w:w="4320"/>
      </w:tblGrid>
      <w:tr>
        <w:tc>
          <w:tcPr>
            <w:tcW w:type="dxa" w:w="4320"/>
            <w:shd w:fill="DCE6F1"/>
          </w:tcPr>
          <w:p>
            <w:r>
              <w:rPr>
                <w:b/>
              </w:rPr>
              <w:t>Loan Parameter</w:t>
            </w:r>
          </w:p>
        </w:tc>
        <w:tc>
          <w:tcPr>
            <w:tcW w:type="dxa" w:w="4320"/>
            <w:shd w:fill="DCE6F1"/>
          </w:tcPr>
          <w:p>
            <w:r>
              <w:rPr>
                <w:b/>
              </w:rPr>
              <w:t>Value</w:t>
            </w:r>
          </w:p>
        </w:tc>
      </w:tr>
      <w:tr>
        <w:tc>
          <w:tcPr>
            <w:tcW w:type="dxa" w:w="4320"/>
          </w:tcPr>
          <w:p>
            <w:r>
              <w:t>Recommended Loan Amount</w:t>
            </w:r>
          </w:p>
        </w:tc>
        <w:tc>
          <w:tcPr>
            <w:tcW w:type="dxa" w:w="4320"/>
          </w:tcPr>
          <w:p>
            <w:r>
              <w:t>0.00</w:t>
            </w:r>
          </w:p>
        </w:tc>
      </w:tr>
      <w:tr>
        <w:tc>
          <w:tcPr>
            <w:tcW w:type="dxa" w:w="4320"/>
          </w:tcPr>
          <w:p>
            <w:r>
              <w:t>Suggested Interest Rate</w:t>
            </w:r>
          </w:p>
        </w:tc>
        <w:tc>
          <w:tcPr>
            <w:tcW w:type="dxa" w:w="4320"/>
          </w:tcPr>
          <w:p>
            <w:r>
              <w:t>15.00%</w:t>
            </w:r>
          </w:p>
        </w:tc>
      </w:tr>
      <w:tr>
        <w:tc>
          <w:tcPr>
            <w:tcW w:type="dxa" w:w="4320"/>
          </w:tcPr>
          <w:p>
            <w:r>
              <w:t>Risk Category</w:t>
            </w:r>
          </w:p>
        </w:tc>
        <w:tc>
          <w:tcPr>
            <w:tcW w:type="dxa" w:w="4320"/>
          </w:tcPr>
          <w:p>
            <w:r>
              <w:t>High Risk</w:t>
            </w:r>
          </w:p>
        </w:tc>
      </w:tr>
    </w:tbl>
    <w:p/>
    <w:p>
      <w:r>
        <w:t>This recommendation reflects the aggregate effect of financial pressure points, legal risk sensitivity, promoter confidence limits, and industry uncertainty. Where approval is considered under conditional structures, strict covenants, periodic monitoring, and phased utilization controls are essential to maintain prudent risk-adjusted returns.</w:t>
      </w:r>
    </w:p>
    <w:p>
      <w:pPr>
        <w:pStyle w:val="Heading2"/>
      </w:pPr>
      <w:r>
        <w:t>10. AI Explainability</w:t>
      </w:r>
    </w:p>
    <w:p>
      <w:r>
        <w:t>The decision is explained through the following credit-committee focused factors:</w:t>
      </w:r>
    </w:p>
    <w:p>
      <w:pPr>
        <w:pStyle w:val="ListBullet"/>
      </w:pPr>
      <w:r>
        <w:t>financial strength and profitability resilience under normal and stressed assumptions;</w:t>
      </w:r>
    </w:p>
    <w:p>
      <w:pPr>
        <w:pStyle w:val="ListBullet"/>
      </w:pPr>
      <w:r>
        <w:t>legal and compliance uncertainty that may impair predictability of repayment behavior;</w:t>
      </w:r>
    </w:p>
    <w:p>
      <w:pPr>
        <w:pStyle w:val="ListBullet"/>
      </w:pPr>
      <w:r>
        <w:t>promoter and governance quality, including signal-based credibility interpretation;</w:t>
      </w:r>
    </w:p>
    <w:p>
      <w:pPr>
        <w:pStyle w:val="ListBullet"/>
      </w:pPr>
      <w:r>
        <w:t>industry and operating environment volatility affecting earnings stability;</w:t>
      </w:r>
    </w:p>
    <w:p>
      <w:pPr>
        <w:pStyle w:val="ListBullet"/>
      </w:pPr>
      <w:r>
        <w:t>credit officer observations incorporated into final weighting and narrative judgment.</w:t>
      </w:r>
    </w:p>
    <w:p>
      <w:r>
        <w:t>Additional analyst narrative:</w:t>
      </w:r>
    </w:p>
    <w:p>
      <w:r>
        <w:t>Smoke test run</w:t>
      </w:r>
    </w:p>
    <w:p>
      <w:r>
        <w:t>This memo is intended for formal credit committee review and should be read together with sanction terms, covenant framework, and legal documentation conditions prior to final decision closure.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