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16:34:30</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37.25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**37.25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Company has experienced declining revenue over the past two years due to reduced demand and loss of key contracts. Financial leverage has increased significantly and working capital pressure is visible.</w:t>
      </w:r>
    </w:p>
    <w:p>
      <w:r>
        <w:t>There are ongoing tax disputes with regulatory authorities which may pose legal risk. Customer concentration risk is high as over 60% of revenue comes from a single client.</w:t>
      </w:r>
    </w:p>
    <w:p>
      <w:r>
        <w:t>Overall financial stability and operational sustainability remain uncertain.</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