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</w:t>
      </w:r>
    </w:p>
    <w:p>
      <w:pPr>
        <w:pStyle w:val="Heading2"/>
      </w:pPr>
      <w:r>
        <w:t>Company</w:t>
      </w:r>
    </w:p>
    <w:p>
      <w:r>
        <w:t>infosys</w:t>
      </w:r>
    </w:p>
    <w:p>
      <w:pPr>
        <w:pStyle w:val="Heading2"/>
      </w:pPr>
      <w:r>
        <w:t>Financial Summary</w:t>
      </w:r>
    </w:p>
    <w:p>
      <w:r>
        <w:t>{'revenue': 450000000, 'profit': 30000000, 'debt': 120000000}</w:t>
      </w:r>
    </w:p>
    <w:p>
      <w:pPr>
        <w:pStyle w:val="Heading2"/>
      </w:pPr>
      <w:r>
        <w:t>Risk Assessment</w:t>
      </w:r>
    </w:p>
    <w:p>
      <w:r>
        <w:t>Low Risk</w:t>
      </w:r>
    </w:p>
    <w:p>
      <w:pPr>
        <w:pStyle w:val="Heading2"/>
      </w:pPr>
      <w:r>
        <w:t>Recommendation</w:t>
      </w:r>
    </w:p>
    <w:p>
      <w:r>
        <w:t>{'decision': 'Approve', 'loan_amount': 90000000}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