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TATA STEEL LIMITED</w:t>
        <w:br/>
      </w:r>
      <w:r>
        <w:t>CIN: L27100MH1907PLC000260</w:t>
        <w:br/>
      </w:r>
      <w:r>
        <w:t>Industry: steel</w:t>
        <w:br/>
      </w:r>
      <w:r>
        <w:t>Generated On: 08-Mar-2026 19:56:26</w:t>
      </w:r>
    </w:p>
    <w:p>
      <w:r>
        <w:br w:type="page"/>
      </w:r>
    </w:p>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42.90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**42.90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Tata Steel Limited demonstrates strong financial fundamentals supported by diversified steel production operations and consistent revenue generation. The company maintains healthy operating margins and stable cash flow supported by robust demand from infrastructure, construction, and automotive sectors.</w:t>
      </w:r>
    </w:p>
    <w:p>
      <w:r>
        <w:t>The current debt-to-equity ratio remains within acceptable banking limits, and the firm shows strong liquidity and capital management practices. Additionally, the steel industry outlook remains positive due to global infrastructure investments and industrial growth.</w:t>
      </w:r>
    </w:p>
    <w:p>
      <w:r>
        <w:t>Management quality, governance practices, and repayment track record further strengthen the company’s creditworthiness. Based on financial stability, sector outlook, and operational scale, the company presents a low-to-moderate credit risk profile and is considered suitable for loan approval under standard credit policy conditions.</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