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20:08:01</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13.99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**13.99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Structured synthesis and India-context checks:</w:t>
      </w:r>
    </w:p>
    <w:p>
      <w:pPr>
        <w:pStyle w:val="ListBullet"/>
      </w:pPr>
      <w:r>
        <w:t>discrepancy flags: Large GST vs ITR turnover variance, GST sales not aligned with bank inflows, GSTR-2A vs GSTR-3B ITC mismatch exceeds threshold</w:t>
      </w:r>
    </w:p>
    <w:p>
      <w:pPr>
        <w:pStyle w:val="ListBullet"/>
      </w:pPr>
      <w:r>
        <w:t>GSTR-2A vs 3B and GST/ITR/bank cross-verification signals are included in the scoring rationale.</w:t>
      </w:r>
    </w:p>
    <w:p>
      <w:r>
        <w:t>Additional analyst narrative:</w:t>
      </w:r>
    </w:p>
    <w:p>
      <w:r>
        <w:t>Tata Steel Limited demonstrates strong financial fundamentals supported by diversified steel production operations and consistent revenue generation. The company maintains healthy operating margins and stable cash flow supported by robust demand from infrastructure, construction, and automotive sectors.</w:t>
      </w:r>
    </w:p>
    <w:p>
      <w:r>
        <w:t>The current debt-to-equity ratio remains within acceptable banking limits, and the firm shows strong liquidity and capital management practices. Additionally, the steel industry outlook remains positive due to global infrastructure investments and industrial growth.</w:t>
      </w:r>
    </w:p>
    <w:p>
      <w:r>
        <w:t>Management quality, governance practices, and repayment track record further strengthen the company’s creditworthiness. Based on financial stability, sector outlook, and operational scale, the company presents a low-to-moderate credit risk profile and is considered suitable for loan approval under standard credit policy conditions.</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