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week, I worked on implementing the ROC tab in the dashboard. I also made aesthetic changes to the dashboard as a whole, such as modifying the layout of the top menu, sidebar, and chart display divs. I chose to make these adjustments to give the interface a more modern and clean appearance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tried to contact Carolina via email during the week but didn’t receive a response. Later, I reached out to her on WhatsApp, and she informed me that she had been busier than usual, which is why she hadn’t replied. As a result, I wasn’t able to do any validation with her during these past weeks. However, I believe the dashboard is consistent with what we discussed in previous meetings.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