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Documentation</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diagram is usually a graphical description of interactions between the elements of a system. This is also a methodology which is used in system analysis to identify, organize and clarify the requirements of the system.</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Individuals who are involved in the system, defined as per their roles.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these are said to be the specific roles played by the actors within the system or around the system.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This defines the system of interest in relation with the world which is around that particular system.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These are the specific relation between the actors and the use cases of the system.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use case diagram generally consists of an actor and all the task which can be performed by the actor which are represented in the form of an oval called use cases.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proposed system there are mainly three actors around which the complete system is based up on they are Student, Instructor and the Admin.</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drawing>
          <wp:inline distB="114300" distT="114300" distL="114300" distR="114300">
            <wp:extent cx="5943600" cy="38354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 for Student</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Successful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unsuccessful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stage if the student enters wrong username or wrong password they will get a popup as login unsuccessful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QR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scan QR module Student can Scan QR code with his standalone mobile application and later he must capture the QR code for security purpose. After Capturing QR the student gets a popup as Scan Successful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Course Details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view courses registered module students can view their courses which they have been registered for that semester. Within that module they can view Timings of the class, CRN and Instructor Name of that course.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Percentage and feedback</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view attendance percentage module students can view their attendance percentage and students will receive feedback after scanning and capturing the QR like Scan Successful, Scan Unsuccessful and Capture Unsuccessful.</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4824494" cy="3377146"/>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24494" cy="337714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 case diagram for Instructor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4852988" cy="365529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52988" cy="36552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 for Admin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4.png"/></Relationships>
</file>