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D85AD" w14:textId="77777777" w:rsidR="006373AB" w:rsidRDefault="006373AB">
      <w:pPr>
        <w:pStyle w:val="Title"/>
        <w:rPr>
          <w:sz w:val="24"/>
          <w:szCs w:val="24"/>
          <w:lang w:eastAsia="en-IN"/>
        </w:rPr>
      </w:pPr>
      <w:r>
        <w:t>Technical Documentation: Project Phase 3</w:t>
      </w:r>
    </w:p>
    <w:p w14:paraId="51FC0236" w14:textId="77777777" w:rsidR="006373AB" w:rsidRDefault="006373AB">
      <w:pPr>
        <w:pStyle w:val="Heading2"/>
        <w:rPr>
          <w:rFonts w:asciiTheme="minorHAnsi" w:hAnsiTheme="minorHAnsi" w:cstheme="minorBidi"/>
          <w:sz w:val="36"/>
          <w:szCs w:val="36"/>
          <w:lang w:eastAsia="en-IN"/>
        </w:rPr>
      </w:pPr>
      <w:r>
        <w:rPr>
          <w:rFonts w:asciiTheme="minorHAnsi" w:hAnsiTheme="minorHAnsi" w:cstheme="minorBidi"/>
        </w:rPr>
        <w:t>Objective Achieved</w:t>
      </w:r>
    </w:p>
    <w:p w14:paraId="5E6A7291" w14:textId="77777777" w:rsidR="006373AB" w:rsidRDefault="006373AB">
      <w:pPr>
        <w:rPr>
          <w:lang w:eastAsia="en-IN"/>
        </w:rPr>
      </w:pPr>
      <w:r>
        <w:t xml:space="preserve">Phase 3 successfully completed the design, integration, and compilation of the full hardware-to-software context-switching engine. This milestone unified the C-based task control block (TCB) model with low-level ARMv6-M exception handling inside a single </w:t>
      </w:r>
      <w:proofErr w:type="spellStart"/>
      <w:r>
        <w:t>CMake</w:t>
      </w:r>
      <w:proofErr w:type="spellEnd"/>
      <w:r>
        <w:t>-based build system targeting the RP2040 Cortex-M0+. The result is a structurally consistent runtime path between scheduler-managed task state in C and context preservation logic in assembly.</w:t>
      </w:r>
    </w:p>
    <w:p w14:paraId="5A23AE28" w14:textId="77777777" w:rsidR="006373AB" w:rsidRDefault="006373AB">
      <w:pPr>
        <w:pStyle w:val="Heading2"/>
        <w:rPr>
          <w:rFonts w:asciiTheme="minorHAnsi" w:hAnsiTheme="minorHAnsi" w:cstheme="minorBidi"/>
          <w:sz w:val="36"/>
          <w:szCs w:val="36"/>
          <w:lang w:eastAsia="en-IN"/>
        </w:rPr>
      </w:pPr>
      <w:r>
        <w:rPr>
          <w:rFonts w:asciiTheme="minorHAnsi" w:hAnsiTheme="minorHAnsi" w:cstheme="minorBidi"/>
        </w:rPr>
        <w:t>1. Unified Compilation Architecture (CMakeLists.txt)</w:t>
      </w:r>
    </w:p>
    <w:p w14:paraId="003D20F1" w14:textId="77777777" w:rsidR="006373AB" w:rsidRDefault="006373AB">
      <w:pPr>
        <w:rPr>
          <w:lang w:eastAsia="en-IN"/>
        </w:rPr>
      </w:pPr>
      <w:r>
        <w:t xml:space="preserve">To support coordinated compilation across C and assembly sources, the project build configuration was extended to include explicit multi-language integration. The executable definition was updated so that </w:t>
      </w:r>
      <w:proofErr w:type="spellStart"/>
      <w:r>
        <w:rPr>
          <w:b/>
          <w:bCs/>
        </w:rPr>
        <w:t>os_</w:t>
      </w:r>
      <w:proofErr w:type="gramStart"/>
      <w:r>
        <w:rPr>
          <w:b/>
          <w:bCs/>
        </w:rPr>
        <w:t>asm.S</w:t>
      </w:r>
      <w:proofErr w:type="spellEnd"/>
      <w:proofErr w:type="gramEnd"/>
      <w:r>
        <w:t xml:space="preserve">, </w:t>
      </w:r>
      <w:proofErr w:type="spellStart"/>
      <w:r>
        <w:rPr>
          <w:b/>
          <w:bCs/>
        </w:rPr>
        <w:t>RTOS.c</w:t>
      </w:r>
      <w:proofErr w:type="spellEnd"/>
      <w:r>
        <w:t xml:space="preserve">, and </w:t>
      </w:r>
      <w:proofErr w:type="spellStart"/>
      <w:r>
        <w:rPr>
          <w:b/>
          <w:bCs/>
        </w:rPr>
        <w:t>Task.c</w:t>
      </w:r>
      <w:proofErr w:type="spellEnd"/>
      <w:r>
        <w:t xml:space="preserve"> are compiled together as part of the same target. This ensures that the assembler is invoked with the correct ARM target configuration before final linking, allowing the low-level exception handlers to resolve cleanly against the C-defined scheduler structures.</w:t>
      </w:r>
    </w:p>
    <w:p w14:paraId="22707D72" w14:textId="77777777" w:rsidR="006373AB" w:rsidRDefault="006373AB">
      <w:pPr>
        <w:rPr>
          <w:lang w:eastAsia="en-IN"/>
        </w:rPr>
      </w:pPr>
      <w:r>
        <w:t xml:space="preserve">To improve tooling consistency and source-level navigation, </w:t>
      </w:r>
      <w:proofErr w:type="spellStart"/>
      <w:r>
        <w:rPr>
          <w:b/>
          <w:bCs/>
        </w:rPr>
        <w:t>compile_</w:t>
      </w:r>
      <w:proofErr w:type="gramStart"/>
      <w:r>
        <w:rPr>
          <w:b/>
          <w:bCs/>
        </w:rPr>
        <w:t>commands.json</w:t>
      </w:r>
      <w:proofErr w:type="spellEnd"/>
      <w:proofErr w:type="gramEnd"/>
      <w:r>
        <w:t xml:space="preserve"> generation was enabled through </w:t>
      </w:r>
      <w:proofErr w:type="gramStart"/>
      <w:r>
        <w:rPr>
          <w:b/>
          <w:bCs/>
        </w:rPr>
        <w:t>set(</w:t>
      </w:r>
      <w:proofErr w:type="gramEnd"/>
      <w:r>
        <w:rPr>
          <w:b/>
          <w:bCs/>
        </w:rPr>
        <w:t>CMAKE_EXPORT_COMPILE_COMMANDS ON)</w:t>
      </w:r>
      <w:r>
        <w:t xml:space="preserve">. This allows editor tooling and IntelliSense to track declarations shared across </w:t>
      </w:r>
      <w:proofErr w:type="spellStart"/>
      <w:r>
        <w:rPr>
          <w:b/>
          <w:bCs/>
        </w:rPr>
        <w:t>RTOS.h</w:t>
      </w:r>
      <w:proofErr w:type="spellEnd"/>
      <w:r>
        <w:t xml:space="preserve">, </w:t>
      </w:r>
      <w:proofErr w:type="spellStart"/>
      <w:r>
        <w:rPr>
          <w:b/>
          <w:bCs/>
        </w:rPr>
        <w:t>Task.h</w:t>
      </w:r>
      <w:proofErr w:type="spellEnd"/>
      <w:r>
        <w:t>, and the assembly integration layer, reducing ambiguity when tracing symbol boundaries between languages.</w:t>
      </w:r>
    </w:p>
    <w:p w14:paraId="7D276CEF" w14:textId="77777777" w:rsidR="006373AB" w:rsidRDefault="006373AB">
      <w:pPr>
        <w:pStyle w:val="Heading2"/>
        <w:rPr>
          <w:rFonts w:asciiTheme="minorHAnsi" w:hAnsiTheme="minorHAnsi" w:cstheme="minorBidi"/>
          <w:sz w:val="36"/>
          <w:szCs w:val="36"/>
          <w:lang w:eastAsia="en-IN"/>
        </w:rPr>
      </w:pPr>
      <w:r>
        <w:rPr>
          <w:rFonts w:asciiTheme="minorHAnsi" w:hAnsiTheme="minorHAnsi" w:cstheme="minorBidi"/>
        </w:rPr>
        <w:t>2. Low-Level Execution Preservation (</w:t>
      </w:r>
      <w:proofErr w:type="spellStart"/>
      <w:r>
        <w:rPr>
          <w:rFonts w:asciiTheme="minorHAnsi" w:hAnsiTheme="minorHAnsi" w:cstheme="minorBidi"/>
        </w:rPr>
        <w:t>PendSV_Handler</w:t>
      </w:r>
      <w:proofErr w:type="spellEnd"/>
      <w:r>
        <w:rPr>
          <w:rFonts w:asciiTheme="minorHAnsi" w:hAnsiTheme="minorHAnsi" w:cstheme="minorBidi"/>
        </w:rPr>
        <w:t>)</w:t>
      </w:r>
    </w:p>
    <w:p w14:paraId="0CF9BFC0" w14:textId="77777777" w:rsidR="006373AB" w:rsidRDefault="006373AB">
      <w:pPr>
        <w:rPr>
          <w:lang w:eastAsia="en-IN"/>
        </w:rPr>
      </w:pPr>
      <w:r>
        <w:t xml:space="preserve">The </w:t>
      </w:r>
      <w:proofErr w:type="spellStart"/>
      <w:r>
        <w:rPr>
          <w:b/>
          <w:bCs/>
        </w:rPr>
        <w:t>PendSV_Handler</w:t>
      </w:r>
      <w:proofErr w:type="spellEnd"/>
      <w:r>
        <w:t xml:space="preserve"> is responsible for preserving the outgoing task context and restoring the incoming one. On ARM Cortex-M processors, exception entry automatically stacks </w:t>
      </w:r>
      <w:r>
        <w:rPr>
          <w:b/>
          <w:bCs/>
        </w:rPr>
        <w:t>R0-R3</w:t>
      </w:r>
      <w:r>
        <w:t xml:space="preserve">, </w:t>
      </w:r>
      <w:r>
        <w:rPr>
          <w:b/>
          <w:bCs/>
        </w:rPr>
        <w:t>R12</w:t>
      </w:r>
      <w:r>
        <w:t xml:space="preserve">, </w:t>
      </w:r>
      <w:r>
        <w:rPr>
          <w:b/>
          <w:bCs/>
        </w:rPr>
        <w:t>LR</w:t>
      </w:r>
      <w:r>
        <w:t xml:space="preserve">, </w:t>
      </w:r>
      <w:r>
        <w:rPr>
          <w:b/>
          <w:bCs/>
        </w:rPr>
        <w:t>PC</w:t>
      </w:r>
      <w:r>
        <w:t xml:space="preserve">, and </w:t>
      </w:r>
      <w:proofErr w:type="spellStart"/>
      <w:r>
        <w:rPr>
          <w:b/>
          <w:bCs/>
        </w:rPr>
        <w:t>xPSR</w:t>
      </w:r>
      <w:proofErr w:type="spellEnd"/>
      <w:r>
        <w:t xml:space="preserve">. The remaining callee-saved registers must be preserved in software during the </w:t>
      </w:r>
      <w:proofErr w:type="spellStart"/>
      <w:r>
        <w:t>PendSV</w:t>
      </w:r>
      <w:proofErr w:type="spellEnd"/>
      <w:r>
        <w:t xml:space="preserve"> sequence, which makes this handler the core of task switching on the RP2040. This hardware-plus-software split is fundamental to Cortex-M context switching </w:t>
      </w:r>
      <w:proofErr w:type="spellStart"/>
      <w:r>
        <w:t>behavior</w:t>
      </w:r>
      <w:proofErr w:type="spellEnd"/>
      <w:r>
        <w:t>.</w:t>
      </w:r>
    </w:p>
    <w:p w14:paraId="744957FD" w14:textId="77777777" w:rsidR="006373AB" w:rsidRDefault="006373AB">
      <w:pPr>
        <w:pStyle w:val="Heading3"/>
        <w:rPr>
          <w:rFonts w:cstheme="minorBidi"/>
          <w:sz w:val="27"/>
          <w:szCs w:val="27"/>
          <w:lang w:eastAsia="en-IN"/>
        </w:rPr>
      </w:pPr>
      <w:r>
        <w:rPr>
          <w:rFonts w:cstheme="minorBidi"/>
        </w:rPr>
        <w:t>The Symmetrical Stack Boundary Architecture</w:t>
      </w:r>
    </w:p>
    <w:p w14:paraId="7BB933EF" w14:textId="77777777" w:rsidR="006373AB" w:rsidRDefault="006373AB">
      <w:pPr>
        <w:rPr>
          <w:lang w:eastAsia="en-IN"/>
        </w:rPr>
      </w:pPr>
      <w:r>
        <w:t xml:space="preserve">When a context switch is triggered, the processor state is distributed across two contiguous regions on the task’s private stack. The upper portion of the frame is written automatically by hardware on exception entry and contains </w:t>
      </w:r>
      <w:proofErr w:type="spellStart"/>
      <w:r>
        <w:rPr>
          <w:b/>
          <w:bCs/>
        </w:rPr>
        <w:t>xPSR</w:t>
      </w:r>
      <w:proofErr w:type="spellEnd"/>
      <w:r>
        <w:t xml:space="preserve">, </w:t>
      </w:r>
      <w:r>
        <w:rPr>
          <w:b/>
          <w:bCs/>
        </w:rPr>
        <w:t>PC</w:t>
      </w:r>
      <w:r>
        <w:t xml:space="preserve">, </w:t>
      </w:r>
      <w:r>
        <w:rPr>
          <w:b/>
          <w:bCs/>
        </w:rPr>
        <w:t>LR</w:t>
      </w:r>
      <w:r>
        <w:t xml:space="preserve">, </w:t>
      </w:r>
      <w:r>
        <w:rPr>
          <w:b/>
          <w:bCs/>
        </w:rPr>
        <w:t>R12</w:t>
      </w:r>
      <w:r>
        <w:t xml:space="preserve">, </w:t>
      </w:r>
      <w:r>
        <w:rPr>
          <w:b/>
          <w:bCs/>
        </w:rPr>
        <w:t>R3</w:t>
      </w:r>
      <w:r>
        <w:t xml:space="preserve">, </w:t>
      </w:r>
      <w:r>
        <w:rPr>
          <w:b/>
          <w:bCs/>
        </w:rPr>
        <w:t>R2</w:t>
      </w:r>
      <w:r>
        <w:t xml:space="preserve">, </w:t>
      </w:r>
      <w:r>
        <w:rPr>
          <w:b/>
          <w:bCs/>
        </w:rPr>
        <w:t>R1</w:t>
      </w:r>
      <w:r>
        <w:t xml:space="preserve">, and </w:t>
      </w:r>
      <w:r>
        <w:rPr>
          <w:b/>
          <w:bCs/>
        </w:rPr>
        <w:t>R0</w:t>
      </w:r>
      <w:r>
        <w:t xml:space="preserve">. Beneath that, the software-managed portion stores </w:t>
      </w:r>
      <w:r>
        <w:rPr>
          <w:b/>
          <w:bCs/>
        </w:rPr>
        <w:t>R4-R11</w:t>
      </w:r>
      <w:r>
        <w:t>, completing the full execution context required to resume a task exactly where it stopped. This layout supports a deterministic handoff between hardware exception semantics and the scheduler’s software save/restore logic.</w:t>
      </w:r>
    </w:p>
    <w:p w14:paraId="76C2B8F0" w14:textId="77777777" w:rsidR="006373AB" w:rsidRDefault="006373AB">
      <w:pPr>
        <w:pStyle w:val="Heading3"/>
        <w:rPr>
          <w:rFonts w:cstheme="minorBidi"/>
          <w:sz w:val="27"/>
          <w:szCs w:val="27"/>
          <w:lang w:eastAsia="en-IN"/>
        </w:rPr>
      </w:pPr>
      <w:r>
        <w:rPr>
          <w:rFonts w:cstheme="minorBidi"/>
        </w:rPr>
        <w:t>Technical Execution Sequence</w:t>
      </w:r>
    </w:p>
    <w:p w14:paraId="7807A397" w14:textId="77777777" w:rsidR="006373AB" w:rsidRDefault="006373AB">
      <w:pPr>
        <w:rPr>
          <w:lang w:eastAsia="en-IN"/>
        </w:rPr>
      </w:pPr>
      <w:r>
        <w:t xml:space="preserve">Because the Cortex-M0+ has a reduced Thumb instruction subset, the save path uses explicit stack pointer arithmetic instead of relying on broader multiple-store forms commonly seen on larger Cortex-M variants. A manual subtraction against the Process Stack Pointer (PSP) reserves space for the software-saved register block before individual or grouped register transfers are </w:t>
      </w:r>
      <w:r>
        <w:lastRenderedPageBreak/>
        <w:t>performed. This makes the save sequence both valid for ARMv6-M and structurally predictable for debugging and verification.</w:t>
      </w:r>
    </w:p>
    <w:p w14:paraId="7726482C" w14:textId="77777777" w:rsidR="006373AB" w:rsidRDefault="006373AB">
      <w:pPr>
        <w:rPr>
          <w:lang w:eastAsia="en-IN"/>
        </w:rPr>
      </w:pPr>
      <w:r>
        <w:t xml:space="preserve">Since the available multiple-load and multiple-store instructions on Cortex-M0+ do not directly support high registers in the same way as broader Cortex-M profiles, the handler maps </w:t>
      </w:r>
      <w:r>
        <w:rPr>
          <w:b/>
          <w:bCs/>
        </w:rPr>
        <w:t>R8-R11</w:t>
      </w:r>
      <w:r>
        <w:t xml:space="preserve"> through low registers during the save and restore path. In practice, </w:t>
      </w:r>
      <w:r>
        <w:rPr>
          <w:b/>
          <w:bCs/>
        </w:rPr>
        <w:t>R8-R11</w:t>
      </w:r>
      <w:r>
        <w:t xml:space="preserve"> are moved into </w:t>
      </w:r>
      <w:r>
        <w:rPr>
          <w:b/>
          <w:bCs/>
        </w:rPr>
        <w:t>R4-R7</w:t>
      </w:r>
      <w:r>
        <w:t xml:space="preserve"> before storage, then restored in reverse order when reloading the incoming context. This symmetry keeps the frame layout consistent and avoids unsupported register-list combinations on ARMv6-M.</w:t>
      </w:r>
    </w:p>
    <w:p w14:paraId="296659D7" w14:textId="77777777" w:rsidR="006373AB" w:rsidRDefault="006373AB">
      <w:pPr>
        <w:rPr>
          <w:lang w:eastAsia="en-IN"/>
        </w:rPr>
      </w:pPr>
      <w:r>
        <w:t xml:space="preserve">The assembly unit synchronizes directly with the scheduler’s task control structures through external task-pointer symbols such as </w:t>
      </w:r>
      <w:proofErr w:type="spellStart"/>
      <w:r>
        <w:rPr>
          <w:b/>
          <w:bCs/>
        </w:rPr>
        <w:t>current_tcb</w:t>
      </w:r>
      <w:proofErr w:type="spellEnd"/>
      <w:r>
        <w:t xml:space="preserve"> and </w:t>
      </w:r>
      <w:proofErr w:type="spellStart"/>
      <w:r>
        <w:rPr>
          <w:b/>
          <w:bCs/>
        </w:rPr>
        <w:t>next_tcb</w:t>
      </w:r>
      <w:proofErr w:type="spellEnd"/>
      <w:r>
        <w:t>. By loading, storing, and updating these addresses in memory, the handler bridges the low-level save/restore sequence with the higher-level task selection logic implemented in C. This design keeps scheduling policy separate from context preservation while still allowing a direct and efficient handoff at the exception boundary.</w:t>
      </w:r>
    </w:p>
    <w:p w14:paraId="2526C632" w14:textId="77777777" w:rsidR="006373AB" w:rsidRDefault="006373AB">
      <w:pPr>
        <w:pStyle w:val="Heading2"/>
        <w:rPr>
          <w:rFonts w:asciiTheme="minorHAnsi" w:hAnsiTheme="minorHAnsi" w:cstheme="minorBidi"/>
          <w:sz w:val="36"/>
          <w:szCs w:val="36"/>
          <w:lang w:eastAsia="en-IN"/>
        </w:rPr>
      </w:pPr>
      <w:r>
        <w:rPr>
          <w:rFonts w:asciiTheme="minorHAnsi" w:hAnsiTheme="minorHAnsi" w:cstheme="minorBidi"/>
        </w:rPr>
        <w:t>3. Pipeline Safeguards and Exception Return</w:t>
      </w:r>
    </w:p>
    <w:p w14:paraId="0C2F7526" w14:textId="77777777" w:rsidR="006373AB" w:rsidRDefault="006373AB">
      <w:pPr>
        <w:rPr>
          <w:lang w:eastAsia="en-IN"/>
        </w:rPr>
      </w:pPr>
      <w:r>
        <w:t xml:space="preserve">To ensure architectural correctness across task transitions, synchronization barriers such as </w:t>
      </w:r>
      <w:r>
        <w:rPr>
          <w:b/>
          <w:bCs/>
        </w:rPr>
        <w:t>DSB</w:t>
      </w:r>
      <w:r>
        <w:t xml:space="preserve"> and </w:t>
      </w:r>
      <w:r>
        <w:rPr>
          <w:b/>
          <w:bCs/>
        </w:rPr>
        <w:t>ISB</w:t>
      </w:r>
      <w:r>
        <w:t xml:space="preserve"> are used to ensure that memory-visible updates complete before execution resumes on the next context. These instructions are especially important around stack pointer updates and task-state transitions because they prevent stale pipeline state from overlapping with newly restored execution state.</w:t>
      </w:r>
    </w:p>
    <w:p w14:paraId="60C0F70D" w14:textId="77777777" w:rsidR="006373AB" w:rsidRDefault="006373AB">
      <w:pPr>
        <w:rPr>
          <w:lang w:eastAsia="en-IN"/>
        </w:rPr>
      </w:pPr>
      <w:r>
        <w:t xml:space="preserve">The handler completes the switch by returning through the standard exception return path, allowing the processor to leave Handler Mode and resume Thread Mode using the </w:t>
      </w:r>
      <w:r>
        <w:rPr>
          <w:b/>
          <w:bCs/>
        </w:rPr>
        <w:t>PSP</w:t>
      </w:r>
      <w:r>
        <w:t xml:space="preserve"> associated with the selected task. This exception-driven return mechanism is what causes the hardware-stacked portion of the new task context to be restored automatically, completing the transfer of control into the incoming task.</w:t>
      </w:r>
    </w:p>
    <w:p w14:paraId="35DF2F92" w14:textId="77777777" w:rsidR="006373AB" w:rsidRDefault="006373AB">
      <w:pPr>
        <w:pStyle w:val="Heading2"/>
        <w:rPr>
          <w:rFonts w:asciiTheme="minorHAnsi" w:hAnsiTheme="minorHAnsi" w:cstheme="minorBidi"/>
          <w:sz w:val="36"/>
          <w:szCs w:val="36"/>
          <w:lang w:eastAsia="en-IN"/>
        </w:rPr>
      </w:pPr>
      <w:r>
        <w:rPr>
          <w:rFonts w:asciiTheme="minorHAnsi" w:hAnsiTheme="minorHAnsi" w:cstheme="minorBidi"/>
        </w:rPr>
        <w:t>Next Step</w:t>
      </w:r>
    </w:p>
    <w:p w14:paraId="34AAF270" w14:textId="77777777" w:rsidR="006373AB" w:rsidRDefault="006373AB">
      <w:pPr>
        <w:rPr>
          <w:lang w:eastAsia="en-IN"/>
        </w:rPr>
      </w:pPr>
      <w:r>
        <w:t xml:space="preserve">With the context-switching path now integrated and compiling cleanly, the remaining work is the initial task-launch sequence in </w:t>
      </w:r>
      <w:proofErr w:type="gramStart"/>
      <w:r>
        <w:rPr>
          <w:b/>
          <w:bCs/>
        </w:rPr>
        <w:t>main(</w:t>
      </w:r>
      <w:proofErr w:type="gramEnd"/>
      <w:r>
        <w:rPr>
          <w:b/>
          <w:bCs/>
        </w:rPr>
        <w:t>)</w:t>
      </w:r>
      <w:r>
        <w:t xml:space="preserve">. That final step will initialize the active task pointers, load the first task stack into the </w:t>
      </w:r>
      <w:r>
        <w:rPr>
          <w:b/>
          <w:bCs/>
        </w:rPr>
        <w:t>PSP</w:t>
      </w:r>
      <w:r>
        <w:t>, and trigger the first yield so that execution enters the scheduler-managed runtime path for the first time.</w:t>
      </w:r>
    </w:p>
    <w:p w14:paraId="12A49F87" w14:textId="77777777" w:rsidR="00BE58FF" w:rsidRDefault="00BE58FF"/>
    <w:sectPr w:rsidR="00BE58FF" w:rsidSect="006373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65C"/>
    <w:rsid w:val="000D333F"/>
    <w:rsid w:val="002E4992"/>
    <w:rsid w:val="006373AB"/>
    <w:rsid w:val="0088265C"/>
    <w:rsid w:val="009F60A9"/>
    <w:rsid w:val="00BE58FF"/>
    <w:rsid w:val="00DF0E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2BFF51-1104-4C5C-97EE-C907DBE4F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2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2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65C"/>
    <w:rPr>
      <w:rFonts w:eastAsiaTheme="majorEastAsia" w:cstheme="majorBidi"/>
      <w:color w:val="272727" w:themeColor="text1" w:themeTint="D8"/>
    </w:rPr>
  </w:style>
  <w:style w:type="paragraph" w:styleId="Title">
    <w:name w:val="Title"/>
    <w:basedOn w:val="Normal"/>
    <w:next w:val="Normal"/>
    <w:link w:val="TitleChar"/>
    <w:uiPriority w:val="10"/>
    <w:qFormat/>
    <w:rsid w:val="00882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65C"/>
    <w:pPr>
      <w:spacing w:before="160"/>
      <w:jc w:val="center"/>
    </w:pPr>
    <w:rPr>
      <w:i/>
      <w:iCs/>
      <w:color w:val="404040" w:themeColor="text1" w:themeTint="BF"/>
    </w:rPr>
  </w:style>
  <w:style w:type="character" w:customStyle="1" w:styleId="QuoteChar">
    <w:name w:val="Quote Char"/>
    <w:basedOn w:val="DefaultParagraphFont"/>
    <w:link w:val="Quote"/>
    <w:uiPriority w:val="29"/>
    <w:rsid w:val="0088265C"/>
    <w:rPr>
      <w:i/>
      <w:iCs/>
      <w:color w:val="404040" w:themeColor="text1" w:themeTint="BF"/>
    </w:rPr>
  </w:style>
  <w:style w:type="paragraph" w:styleId="ListParagraph">
    <w:name w:val="List Paragraph"/>
    <w:basedOn w:val="Normal"/>
    <w:uiPriority w:val="34"/>
    <w:qFormat/>
    <w:rsid w:val="0088265C"/>
    <w:pPr>
      <w:ind w:left="720"/>
      <w:contextualSpacing/>
    </w:pPr>
  </w:style>
  <w:style w:type="character" w:styleId="IntenseEmphasis">
    <w:name w:val="Intense Emphasis"/>
    <w:basedOn w:val="DefaultParagraphFont"/>
    <w:uiPriority w:val="21"/>
    <w:qFormat/>
    <w:rsid w:val="0088265C"/>
    <w:rPr>
      <w:i/>
      <w:iCs/>
      <w:color w:val="0F4761" w:themeColor="accent1" w:themeShade="BF"/>
    </w:rPr>
  </w:style>
  <w:style w:type="paragraph" w:styleId="IntenseQuote">
    <w:name w:val="Intense Quote"/>
    <w:basedOn w:val="Normal"/>
    <w:next w:val="Normal"/>
    <w:link w:val="IntenseQuoteChar"/>
    <w:uiPriority w:val="30"/>
    <w:qFormat/>
    <w:rsid w:val="00882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65C"/>
    <w:rPr>
      <w:i/>
      <w:iCs/>
      <w:color w:val="0F4761" w:themeColor="accent1" w:themeShade="BF"/>
    </w:rPr>
  </w:style>
  <w:style w:type="character" w:styleId="IntenseReference">
    <w:name w:val="Intense Reference"/>
    <w:basedOn w:val="DefaultParagraphFont"/>
    <w:uiPriority w:val="32"/>
    <w:qFormat/>
    <w:rsid w:val="008826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777</Words>
  <Characters>4433</Characters>
  <Application>Microsoft Office Word</Application>
  <DocSecurity>0</DocSecurity>
  <Lines>36</Lines>
  <Paragraphs>10</Paragraphs>
  <ScaleCrop>false</ScaleCrop>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kiran</dc:creator>
  <cp:keywords/>
  <dc:description/>
  <cp:lastModifiedBy>Vamsi kiran</cp:lastModifiedBy>
  <cp:revision>3</cp:revision>
  <dcterms:created xsi:type="dcterms:W3CDTF">2026-06-03T16:49:00Z</dcterms:created>
  <dcterms:modified xsi:type="dcterms:W3CDTF">2026-06-03T16:53:00Z</dcterms:modified>
</cp:coreProperties>
</file>