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6B3E"/>
          <w:sz w:val="44"/>
          <w:szCs w:val="44"/>
        </w:rPr>
        <w:t xml:space="preserve">AgroOptimize</w:t>
      </w:r>
    </w:p>
    <w:p>
      <w:pPr>
        <w:spacing w:after="40"/>
        <w:jc w:val="center"/>
      </w:pPr>
      <w:r>
        <w:rPr>
          <w:i/>
          <w:iCs/>
          <w:color w:val="333333"/>
          <w:sz w:val="24"/>
          <w:szCs w:val="24"/>
        </w:rPr>
        <w:t xml:space="preserve">A Fuzzy-Evolutionary Decision Support System for Agricultural Farming Under Uncertainty</w:t>
      </w:r>
    </w:p>
    <w:p>
      <w:pPr>
        <w:spacing w:after="240"/>
        <w:jc w:val="center"/>
      </w:pPr>
      <w:r>
        <w:rPr>
          <w:b/>
          <w:bCs/>
          <w:color w:val="666666"/>
          <w:sz w:val="22"/>
          <w:szCs w:val="22"/>
        </w:rPr>
        <w:t xml:space="preserve">Project Status Report — Guide Review</w:t>
      </w:r>
    </w:p>
    <w:p>
      <w:pPr>
        <w:pBdr>
          <w:bottom w:val="single" w:color="2E6B3E" w:sz="8" w:space="4"/>
        </w:pBdr>
        <w:spacing w:after="200"/>
      </w:pPr>
    </w:p>
    <w:p>
      <w:pPr>
        <w:spacing w:after="60"/>
      </w:pPr>
      <w:r>
        <w:rPr>
          <w:b/>
          <w:bCs/>
        </w:rPr>
        <w:t xml:space="preserve">Student Name: </w:t>
      </w:r>
      <w:r>
        <w:rPr>
          <w:i/>
          <w:iCs/>
          <w:color w:val="999999"/>
        </w:rPr>
        <w:t xml:space="preserve">[Your Name]</w:t>
      </w:r>
    </w:p>
    <w:p>
      <w:pPr>
        <w:spacing w:after="60"/>
      </w:pPr>
      <w:r>
        <w:rPr>
          <w:b/>
          <w:bCs/>
        </w:rPr>
        <w:t xml:space="preserve">Register Number: </w:t>
      </w:r>
      <w:r>
        <w:rPr>
          <w:i/>
          <w:iCs/>
          <w:color w:val="999999"/>
        </w:rPr>
        <w:t xml:space="preserve">[Register No.]</w:t>
      </w:r>
    </w:p>
    <w:p>
      <w:pPr>
        <w:spacing w:after="60"/>
      </w:pPr>
      <w:r>
        <w:rPr>
          <w:b/>
          <w:bCs/>
        </w:rPr>
        <w:t xml:space="preserve">Department: </w:t>
      </w:r>
      <w:r>
        <w:rPr>
          <w:i/>
          <w:iCs/>
          <w:color w:val="999999"/>
        </w:rPr>
        <w:t xml:space="preserve">[Department]</w:t>
      </w:r>
    </w:p>
    <w:p>
      <w:pPr>
        <w:spacing w:after="60"/>
      </w:pPr>
      <w:r>
        <w:rPr>
          <w:b/>
          <w:bCs/>
        </w:rPr>
        <w:t xml:space="preserve">Project Guide: </w:t>
      </w:r>
      <w:r>
        <w:rPr>
          <w:i/>
          <w:iCs/>
          <w:color w:val="999999"/>
        </w:rPr>
        <w:t xml:space="preserve">[Guide Name]</w:t>
      </w:r>
    </w:p>
    <w:p>
      <w:pPr>
        <w:spacing w:after="60"/>
      </w:pPr>
      <w:r>
        <w:rPr>
          <w:b/>
          <w:bCs/>
        </w:rPr>
        <w:t xml:space="preserve">Review Stage: </w:t>
      </w:r>
      <w:r>
        <w:rPr>
          <w:i/>
          <w:iCs/>
          <w:color w:val="999999"/>
        </w:rPr>
        <w:t xml:space="preserve">[Guide Review 1 / Panel Review 1 / Guide Review 2 — select applicable]</w:t>
      </w:r>
    </w:p>
    <w:p>
      <w:pPr>
        <w:spacing w:after="60"/>
      </w:pPr>
      <w:r>
        <w:rPr>
          <w:b/>
          <w:bCs/>
        </w:rPr>
        <w:t xml:space="preserve">Report Date: </w:t>
      </w:r>
      <w:r>
        <w:rPr>
          <w:i w:val="false"/>
          <w:iCs w:val="false"/>
          <w:color w:val="000000"/>
        </w:rPr>
        <w:t xml:space="preserve">11 August 2026</w:t>
      </w:r>
    </w:p>
    <w:p>
      <w:pPr>
        <w:spacing w:after="60"/>
      </w:pPr>
      <w:r>
        <w:rPr>
          <w:b/>
          <w:bCs/>
        </w:rPr>
        <w:t xml:space="preserve">Reference Paper: </w:t>
      </w:r>
      <w:r>
        <w:rPr>
          <w:i w:val="false"/>
          <w:iCs w:val="false"/>
          <w:color w:val="000000"/>
        </w:rPr>
        <w:t xml:space="preserve">“A fuzzy-evolutionary decision support system for agricultural farming under uncertainties”</w:t>
      </w:r>
    </w:p>
    <w:p>
      <w:pPr>
        <w:pStyle w:val="Heading1"/>
        <w:spacing w:after="140" w:before="320"/>
      </w:pPr>
      <w:r>
        <w:t xml:space="preserve">1. Project Overview</w:t>
      </w:r>
    </w:p>
    <w:p>
      <w:pPr>
        <w:spacing w:after="140"/>
      </w:pPr>
      <w:r>
        <w:t xml:space="preserve">A farmer choosing what to plant balances four competing goals — high yield, low cost, low water use, and low environmental impact — under rainfall, soil, and water-availability conditions that are never known with certainty. Most existing decision-support tools optimise one objective at a time and treat inputs as exact numbers. AgroOptimize addresses both gaps at once: it models climate/soil/water uncertainty explicitly using Mamdani fuzzy logic, and it optimises all four objectives simultaneously using NSGA-II, returning a set of Pareto-optimal trade-off plans that a farmer (or advisor) can choose between, ranked and explained via TOPSIS.</w:t>
      </w:r>
    </w:p>
    <w:p>
      <w:pPr>
        <w:spacing w:after="140"/>
      </w:pPr>
      <w:r>
        <w:t xml:space="preserve">Current scope: backend and REST API only, built and tested end to end against four years (2020–2023) of real Tamil Nadu district agricultural data. A frontend is planned as the next phase, deliberately sequenced after the backend/API contract was finalised.</w:t>
      </w:r>
    </w:p>
    <w:p>
      <w:pPr>
        <w:pStyle w:val="Heading1"/>
        <w:spacing w:after="140" w:before="320"/>
      </w:pPr>
      <w:r>
        <w:t xml:space="preserve">2. Software Requirements Specification (Summary)</w:t>
      </w:r>
    </w:p>
    <w:p>
      <w:pPr>
        <w:pStyle w:val="Heading2"/>
        <w:spacing w:after="100" w:before="200"/>
      </w:pPr>
      <w:r>
        <w:t xml:space="preserve">2.1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cantSplit/>
          <w:tblHeader/>
        </w:trPr>
        <w:tc>
          <w:tcPr>
            <w:tcW w:type="dxa" w:w="15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4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Liveness check for the API service.</w:t>
            </w:r>
          </w:p>
        </w:tc>
      </w:tr>
      <w:tr>
        <w:trPr>
          <w:cantSplit/>
        </w:trPr>
        <w:tc>
          <w:tcPr>
            <w:tcW w:type="dxa" w:w="15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/api/catalog</w:t>
            </w:r>
          </w:p>
        </w:tc>
        <w:tc>
          <w:tcPr>
            <w:tcW w:type="dxa" w:w="49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available locations, years, seasons, and crops.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/api/region-profile</w:t>
            </w:r>
          </w:p>
        </w:tc>
        <w:tc>
          <w:tcPr>
            <w:tcW w:type="dxa" w:w="4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preprocessing + fuzzy stages only, for fast inspection of a region/season.</w:t>
            </w:r>
          </w:p>
        </w:tc>
      </w:tr>
      <w:tr>
        <w:trPr>
          <w:cantSplit/>
        </w:trPr>
        <w:tc>
          <w:tcPr>
            <w:tcW w:type="dxa" w:w="15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/api/farm-plans</w:t>
            </w:r>
          </w:p>
        </w:tc>
        <w:tc>
          <w:tcPr>
            <w:tcW w:type="dxa" w:w="49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full pipeline (preprocessing → fuzzy → NSGA-II → TOPSIS) and returns ranked, explained farm plans. Persists to disk by default.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/api/results</w:t>
            </w:r>
          </w:p>
        </w:tc>
        <w:tc>
          <w:tcPr>
            <w:tcW w:type="dxa" w:w="4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every run saved to results/ so far.</w:t>
            </w:r>
          </w:p>
        </w:tc>
      </w:tr>
      <w:tr>
        <w:trPr>
          <w:cantSplit/>
        </w:trPr>
        <w:tc>
          <w:tcPr>
            <w:tcW w:type="dxa" w:w="15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/api/results/{run_id}</w:t>
            </w:r>
          </w:p>
        </w:tc>
        <w:tc>
          <w:tcPr>
            <w:tcW w:type="dxa" w:w="49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full saved record for one past run, including convergence history.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sz w:val="20"/>
          <w:szCs w:val="20"/>
        </w:rPr>
        <w:t xml:space="preserve">A CLI demo (run_demo.py) exposes the same pipeline without a running server, for quick local demonstration.</w:t>
      </w:r>
    </w:p>
    <w:p>
      <w:pPr>
        <w:pStyle w:val="Heading2"/>
        <w:spacing w:after="100" w:before="200"/>
      </w:pPr>
      <w: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a full 80-population / 200-generation NSGA-II run completes in well under 1 second (objective evaluation is fully vectorised with NumPy).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Reproducibility: the RNG is explicitly seeded before each run; identical inputs and seed reproduce an identical Pareto front.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Auditability: every run is persisted as JSON + CSV + PNG, independent of a database, so results are inspectable, versionable, and attachable to a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 of scope (this phase): user authentication, a live weather-data feed, and a relational database (file-based persistence is used by design — see Section 6).</w:t>
      </w:r>
    </w:p>
    <w:p>
      <w:pPr>
        <w:pStyle w:val="Heading2"/>
        <w:spacing w:after="100" w:before="200"/>
      </w:pPr>
      <w:r>
        <w:t xml:space="preserve">2.3 Target Users</w:t>
      </w:r>
    </w:p>
    <w:p>
      <w:pPr>
        <w:spacing w:after="140"/>
      </w:pPr>
      <w:r>
        <w:t xml:space="preserve">Agricultural planners, extension officers, or farmers in the covered Tamil Nadu districts (Coimbatore, Erode, Salem, Pollachi) seeking a data-driven, trade-off-aware planting recommendation for a given season and budget.</w:t>
      </w:r>
    </w:p>
    <w:p>
      <w:pPr>
        <w:pStyle w:val="Heading1"/>
        <w:spacing w:after="140" w:before="320"/>
      </w:pPr>
      <w:r>
        <w:t xml:space="preserve">3. Software Architecture &amp; System Design</w:t>
      </w:r>
    </w:p>
    <w:p>
      <w:pPr>
        <w:pStyle w:val="Heading2"/>
        <w:spacing w:after="100" w:before="200"/>
      </w:pPr>
      <w:r>
        <w:t xml:space="preserve">3.1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cantSplit/>
          <w:tblHeader/>
        </w:trPr>
        <w:tc>
          <w:tcPr>
            <w:tcW w:type="dxa" w:w="9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6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app/data/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Loads 16 raw CSVs (4 districts × crop / land-soil / rainfall / water-availability, 2020–2023); builds a RegionSeasonProfile (soil fertility index, effective rainfall, top-6 candidate crops by revenue).</w:t>
            </w:r>
          </w:p>
        </w:tc>
      </w:tr>
      <w:tr>
        <w:trPr>
          <w:cantSplit/>
        </w:trPr>
        <w:tc>
          <w:tcPr>
            <w:tcW w:type="dxa" w:w="9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app/fuzzy/</w:t>
            </w:r>
          </w:p>
        </w:tc>
        <w:tc>
          <w:tcPr>
            <w:tcW w:type="dxa" w:w="56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Mamdani fuzzy inference (scikit-fuzzy): 3 triangular inputs → 14 rules → 2 outputs (yield_confidence, irrigation_risk), centroid defuzzification, per-crop confidence adjustment.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app/optimization/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NSGA-II (pymoo core + hand-written crossover/mutation/repair matching the paper) evolves land-allocation / irrigation / fertilizer decisions across 4 objectives; tracks per-generation hypervolume.</w:t>
            </w:r>
          </w:p>
        </w:tc>
      </w:tr>
      <w:tr>
        <w:trPr>
          <w:cantSplit/>
        </w:trPr>
        <w:tc>
          <w:tcPr>
            <w:tcW w:type="dxa" w:w="9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app/decision/</w:t>
            </w:r>
          </w:p>
        </w:tc>
        <w:tc>
          <w:tcPr>
            <w:tcW w:type="dxa" w:w="56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TOPSIS ranking of the Pareto front (5 preference modes), optional budget/water filters, plain-language trade-off text per plan.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Orchestrates stages 1–4 end to end (plan_service.py) and persists every run to results/ (results_store.py).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3.2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 / framework: Python 3, FastAPI (REST API + auto-generated Swagger docs).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Optimisation: pymoo (NSGA-II core: fast non-dominated sorting, crowding distance, elitism), with custom Crossover/Mutation/Repair operators.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Uncertainty modelling: scikit-fuzzy (Mamdani fuzzy inference system).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handling: pandas, NumPy.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Visualisation: matplotlib (convergence charts).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Testing: pytest.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Persistence: file-based (JSON / CSV / PNG under results/) — a deliberate choice for inspectability and versionability at this project stage, not a placeholder for a missing database.</w:t>
      </w:r>
    </w:p>
    <w:p>
      <w:pPr>
        <w:pStyle w:val="Heading2"/>
        <w:spacing w:after="100" w:before="200"/>
      </w:pPr>
      <w:r>
        <w:t xml:space="preserve">3.3 Module Decomposition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tunable constants and documented modelling assumptions.</w:t>
            </w:r>
          </w:p>
        </w:tc>
      </w:tr>
      <w:tr>
        <w:trPr>
          <w:cantSplit/>
        </w:trPr>
        <w:tc>
          <w:tcPr>
            <w:tcW w:type="dxa" w:w="30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app/schemas.py</w:t>
            </w:r>
          </w:p>
        </w:tc>
        <w:tc>
          <w:tcPr>
            <w:tcW w:type="dxa" w:w="6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request/response models.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app and the 6 routes listed in Section 2.1.</w:t>
            </w:r>
          </w:p>
        </w:tc>
      </w:tr>
      <w:tr>
        <w:trPr>
          <w:cantSplit/>
        </w:trPr>
        <w:tc>
          <w:tcPr>
            <w:tcW w:type="dxa" w:w="30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app/data/loader.py, preprocessing.py</w:t>
            </w:r>
          </w:p>
        </w:tc>
        <w:tc>
          <w:tcPr>
            <w:tcW w:type="dxa" w:w="6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CSV loading (cached) and RegionSeasonProfile construction.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app/fuzzy/engine.py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Mamdani fuzzy inference engine.</w:t>
            </w:r>
          </w:p>
        </w:tc>
      </w:tr>
      <w:tr>
        <w:trPr>
          <w:cantSplit/>
        </w:trPr>
        <w:tc>
          <w:tcPr>
            <w:tcW w:type="dxa" w:w="30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app/optimization/operators.py, problem.py, nsga2_runner.py</w:t>
            </w:r>
          </w:p>
        </w:tc>
        <w:tc>
          <w:tcPr>
            <w:tcW w:type="dxa" w:w="6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genetic operators, the 4-objective problem definition, and the NSGA-II run/convergence-tracking driver.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app/decision/ranking.py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TOPSIS ranking, filters, trade-off text generation.</w:t>
            </w:r>
          </w:p>
        </w:tc>
      </w:tr>
      <w:tr>
        <w:trPr>
          <w:cantSplit/>
        </w:trPr>
        <w:tc>
          <w:tcPr>
            <w:tcW w:type="dxa" w:w="30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app/services/plan_service.py, results_store.py</w:t>
            </w:r>
          </w:p>
        </w:tc>
        <w:tc>
          <w:tcPr>
            <w:tcW w:type="dxa" w:w="6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orchestration and results persistence.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tests/test_pipeline.py</w:t>
            </w:r>
          </w:p>
        </w:tc>
        <w:tc>
          <w:tcPr>
            <w:tcW w:type="dxa" w:w="6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 automated test cases covering every module, the API, and persistence.</w:t>
            </w:r>
          </w:p>
        </w:tc>
      </w:tr>
      <w:tr>
        <w:trPr>
          <w:cantSplit/>
        </w:trPr>
        <w:tc>
          <w:tcPr>
            <w:tcW w:type="dxa" w:w="30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run_demo.py</w:t>
            </w:r>
          </w:p>
        </w:tc>
        <w:tc>
          <w:tcPr>
            <w:tcW w:type="dxa" w:w="6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No-server CLI demo.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3.4 Dataset</w:t>
      </w:r>
    </w:p>
    <w:p>
      <w:pPr>
        <w:spacing w:after="140"/>
      </w:pPr>
      <w:r>
        <w:t xml:space="preserve">16 CSVs: 4 Tamil Nadu districts (Coimbatore, Erode, Salem, Pollachi) × 4 data kinds (crop history, land/soil, rainfall, water availability), each spanning 2020–2023 — sourced at district granularity per location / year / season.</w:t>
      </w:r>
    </w:p>
    <w:p>
      <w:pPr>
        <w:pStyle w:val="Heading1"/>
        <w:spacing w:after="140" w:before="320"/>
      </w:pPr>
      <w:r>
        <w:t xml:space="preserve">4. Implementation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cantSplit/>
          <w:tblHeader/>
        </w:trPr>
        <w:tc>
          <w:tcPr>
            <w:tcW w:type="dxa" w:w="26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app/data/ — builds a validated RegionSeasonProfile for all 4 locations × 3 seasons.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Fuzzy uncertainty engine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app/fuzzy/engine.py — 14-rule Mamdani system, unit-range-checked by tests.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NSGA-II optimiser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app/optimization/ — custom operators matching the paper's stated parameters exactly (pop 80, gen 200, crossover p=0.85, mutation p=0.12).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ranking (TOPSIS)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app/decision/ranking.py — 5 preference modes, verified to produce meaningfully different rankings.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 persistence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real runs already saved under results/ (Coimbatore Kharif 2023, Erode Rabi 2023, Pollachi Summer 2023), each with JSON + plans CSV + convergence CSV/PNG.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endpoints live, browsable via Swagger UI at /docs.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demo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run_demo.py — no server required.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 collected test cases (pytest), all passing.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Deliberately deferred until the UI is finalised; API is designed to be consumed by it.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scope for the current phase.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 (by design)</w:t>
            </w:r>
          </w:p>
        </w:tc>
        <w:tc>
          <w:tcPr>
            <w:tcW w:type="dxa" w:w="50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File-based persistence used instead — see Section 3.2.</w:t>
            </w:r>
          </w:p>
        </w:tc>
      </w:tr>
      <w:tr>
        <w:trPr>
          <w:cantSplit/>
        </w:trPr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of economic / carbon constants</w:t>
            </w:r>
          </w:p>
        </w:tc>
        <w:tc>
          <w:tcPr>
            <w:tcW w:type="dxa" w:w="1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50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Placeholder market rates in app/config.py; centralised for a one-line update once real supplier quotes are available.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</w:rPr>
        <w:t xml:space="preserve">Estimate: the backend/API layer is functionally complete against its own scope. Counted against the full system envisioned in the proposal (backend + frontend + persistence), overall implementation is in the region of 45–55% — frontend development is the single largest remaining item and the main lever for the next review's implementation-progress score.</w:t>
      </w:r>
    </w:p>
    <w:p>
      <w:pPr>
        <w:pStyle w:val="Heading1"/>
        <w:spacing w:after="140" w:before="320"/>
      </w:pPr>
      <w:r>
        <w:t xml:space="preserve">5. Testing &amp;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34 automated test cases (pytest), including 12 cases parametrised across every location × season combination, covering preprocessing, the fuzzy engine, NSGA-II output validity, ranking, the full API, and results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Feasibility invariants checked directly: allocation fractions sum to 1, all allocated area fits within the farmer's declared land, cost stays within budget when one is supplied.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Qualitative sanity check: the max_yield preference reliably returns higher-yield / higher-cost plans than min_cost on the same Pareto front.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Reproducibility: identical problem + seed reproduces an identical Pareto front across separate runs (verified after finding and fixing an early random-seed propagation bug).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Convergence evidence: a per-generation hypervolume indicator is tracked for every persisted run; real runs show hypervolume climbing sharply for ~30 generations then plateauing around 0.49–0.51 — the textbook NSGA-II signature (see any results/*_convergence.png).</w:t>
      </w:r>
    </w:p>
    <w:p>
      <w:pPr>
        <w:pStyle w:val="Heading1"/>
        <w:spacing w:after="140" w:before="320"/>
      </w:pPr>
      <w:r>
        <w:t xml:space="preserve">6. Key Assumptions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cantSplit/>
          <w:tblHeader/>
        </w:trPr>
        <w:tc>
          <w:tcPr>
            <w:tcW w:type="dxa" w:w="24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8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Urea (N) price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 6.5 / kg nutrient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objective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DAP (P) price</w:t>
            </w:r>
          </w:p>
        </w:tc>
        <w:tc>
          <w:tcPr>
            <w:tcW w:type="dxa" w:w="18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 27 / kg nutrient</w:t>
            </w:r>
          </w:p>
        </w:tc>
        <w:tc>
          <w:tcPr>
            <w:tcW w:type="dxa" w:w="48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objective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MOP (K) price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 17 / kg nutrient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objective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Labour wage</w:t>
            </w:r>
          </w:p>
        </w:tc>
        <w:tc>
          <w:tcPr>
            <w:tcW w:type="dxa" w:w="18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 400 / day</w:t>
            </w:r>
          </w:p>
        </w:tc>
        <w:tc>
          <w:tcPr>
            <w:tcW w:type="dxa" w:w="48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objective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Rainfall utilisation factor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rainfall (water objective)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Carbon-per-NPK factor</w:t>
            </w:r>
          </w:p>
        </w:tc>
        <w:tc>
          <w:tcPr>
            <w:tcW w:type="dxa" w:w="18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48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impact objective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Carbon-per-irrigation-mm factor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impact objective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Rainfall dependency → risk factor</w:t>
            </w:r>
          </w:p>
        </w:tc>
        <w:tc>
          <w:tcPr>
            <w:tcW w:type="dxa" w:w="18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Low 0.1 / Low 0.3 / Medium 0.6 / High 1.0</w:t>
            </w:r>
          </w:p>
        </w:tc>
        <w:tc>
          <w:tcPr>
            <w:tcW w:type="dxa" w:w="48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Fuzzy per-crop yield adjustment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Soil fertility weights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 0.3, organic carbon 0.3, NPK 0.4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Fertility index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Season-to-months mapping</w:t>
            </w:r>
          </w:p>
        </w:tc>
        <w:tc>
          <w:tcPr>
            <w:tcW w:type="dxa" w:w="18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Kharif = Jun–Sep, Rabi = Oct–Mar, Summer = Feb–May</w:t>
            </w:r>
          </w:p>
        </w:tc>
        <w:tc>
          <w:tcPr>
            <w:tcW w:type="dxa" w:w="48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Aligning monthly rainfall/water data to cropping seasons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“Balanced” preference weight split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Yield 0.30, others 0.233 each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TOPSIS ranking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sz w:val="20"/>
          <w:szCs w:val="20"/>
        </w:rPr>
        <w:t xml:space="preserve">Full derivations and rationale for each are documented inline in app/config.py and in notes/methodology_notes.md (Section 9).</w:t>
      </w:r>
    </w:p>
    <w:p>
      <w:pPr>
        <w:pStyle w:val="Heading1"/>
        <w:spacing w:after="140" w:before="320"/>
      </w:pPr>
      <w:r>
        <w:t xml:space="preserve">7.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Decisions are region/season-level allocation fractions, not per-plot GPS assignments (the dataset is aggregate district statistics).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Harvest timing is sourced from the dataset's fixed Sowing/Harvest columns rather than being optimised — a scoped-down version of the paper's full decision-variable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Economic constants are approximate market rates, not live prices (flagged in app/config.py, swappable in one place).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years of rainfall history (2020–2023) rather than the “at least five years” the reference paper treats as typical.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live weather API integration — rainfall/water figures are historical records for the selected year, not a real-time forecast.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over-tight budget currently yields an empty plan list rather than a clear “no feasible plan” message with the nearest feasible cost.</w:t>
      </w:r>
    </w:p>
    <w:p>
      <w:pPr>
        <w:pStyle w:val="Heading1"/>
        <w:spacing w:after="140" w:before="320"/>
      </w:pPr>
      <w:r>
        <w:t xml:space="preserve">8. Remaining Work /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 development </w:t>
      </w:r>
      <w:r>
        <w:t xml:space="preserve">— the primary remaining item; the API/schema contract is already finalised and ready to be consumed.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Calibrate assumption constants </w:t>
      </w:r>
      <w:r>
        <w:t xml:space="preserve">— replace placeholder fertilizer/labour/carbon figures in app/config.py with sourced market or supplier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Infeasible-budget handling </w:t>
      </w:r>
      <w:r>
        <w:t xml:space="preserve">— return a clear message with the nearest feasible cost instead of an empty plan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Optional / stretch </w:t>
      </w:r>
      <w:r>
        <w:t xml:space="preserve">— relational database migration, authentication, live weather API integration.</w:t>
      </w:r>
    </w:p>
    <w:p>
      <w:pPr>
        <w:pStyle w:val="Heading1"/>
        <w:spacing w:after="140" w:before="320"/>
      </w:pPr>
      <w:r>
        <w:t xml:space="preserve">9. Live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 (no server): </w:t>
      </w:r>
      <w:r>
        <w:rPr>
          <w:rFonts w:ascii="Consolas" w:cs="Consolas" w:eastAsia="Consolas" w:hAnsi="Consolas"/>
          <w:sz w:val="20"/>
          <w:szCs w:val="20"/>
        </w:rPr>
        <w:t xml:space="preserve">python3 run_demo.py --location Coimbatore --season Kharif --land 5 --budget 200000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+ Swagger UI: </w:t>
      </w:r>
      <w:r>
        <w:rPr>
          <w:rFonts w:ascii="Consolas" w:cs="Consolas" w:eastAsia="Consolas" w:hAnsi="Consolas"/>
          <w:sz w:val="20"/>
          <w:szCs w:val="20"/>
        </w:rPr>
        <w:t xml:space="preserve">uvicorn app.main:app --reload --port 8000</w:t>
      </w:r>
      <w:r>
        <w:t xml:space="preserve"> then open 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suite: </w:t>
      </w:r>
      <w:r>
        <w:rPr>
          <w:rFonts w:ascii="Consolas" w:cs="Consolas" w:eastAsia="Consolas" w:hAnsi="Consolas"/>
          <w:sz w:val="20"/>
          <w:szCs w:val="20"/>
        </w:rPr>
        <w:t xml:space="preserve">pytest -v</w:t>
      </w:r>
      <w:r>
        <w:t xml:space="preserve"> — 34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Convergence evidence: </w:t>
      </w:r>
      <w:r>
        <w:t xml:space="preserve">open any results/*_convergence.png alongside two run_demo.py calls with different --preference values, to show the trade-off and the convergence curve together.</w:t>
      </w:r>
    </w:p>
    <w:p>
      <w:pPr>
        <w:pStyle w:val="Heading1"/>
        <w:spacing w:after="140" w:before="320"/>
      </w:pPr>
      <w:r>
        <w:t xml:space="preserve">10. Rubric Alignment Snapshot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Self-assessment against the Software-Based Project criteria in the Phase 2 Project Rubrics, for discussion with the guide.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Rubric Component</w:t>
            </w:r>
          </w:p>
        </w:tc>
        <w:tc>
          <w:tcPr>
            <w:tcW w:type="dxa" w:w="5626"/>
            <w:shd w:fill="2E6B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+ non-functional requirements defined (Section 2); use cases covered by the 6 endpoints and CLI demo.</w:t>
            </w:r>
          </w:p>
        </w:tc>
      </w:tr>
      <w:tr>
        <w:trPr>
          <w:cantSplit/>
        </w:trPr>
        <w:tc>
          <w:tcPr>
            <w:tcW w:type="dxa" w:w="3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Architecture &amp; System Design</w:t>
            </w:r>
          </w:p>
        </w:tc>
        <w:tc>
          <w:tcPr>
            <w:tcW w:type="dxa" w:w="56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Complete: module decomposition, data flow, technology stack documented (Section 3). No formal UML diagrams yet — can be added if required.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/ Ongoing Development Progress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Backend, algorithms, and API layer functionally complete and tested; frontend not started (Section 4).</w:t>
            </w:r>
          </w:p>
        </w:tc>
      </w:tr>
      <w:tr>
        <w:trPr>
          <w:cantSplit/>
        </w:trPr>
        <w:tc>
          <w:tcPr>
            <w:tcW w:type="dxa" w:w="34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Integration &amp; Testing</w:t>
            </w:r>
          </w:p>
        </w:tc>
        <w:tc>
          <w:tcPr>
            <w:tcW w:type="dxa" w:w="5626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modules integrated and tested end to end (34 tests); no frontend to integrate yet, so backend–frontend–database integration (as the rubric expects by Panel/Guide Review 2) is outstanding.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Regularity &amp; Technical Involvement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[Fill in based on meeting log with guide]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AgroOptimize — Project Status Report</w:t>
    </w:r>
    <w:r>
      <w:rPr>
        <w:color w:val="666666"/>
        <w:sz w:val="16"/>
        <w:szCs w:val="16"/>
      </w:rPr>
      <w:t xml:space="preserve">	23CSE498 Project Phase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3E" w:sz="4" w:space="4"/>
      </w:pBdr>
      <w:spacing w:after="140" w:before="320"/>
    </w:pPr>
    <w:rPr>
      <w:rFonts w:ascii="Calibri" w:cs="Calibri" w:eastAsia="Calibri" w:hAnsi="Calibri"/>
      <w:b/>
      <w:bCs/>
      <w:color w:val="2E6B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2026-08-11T15:33:51.376Z</dcterms:created>
  <dcterms:modified xsi:type="dcterms:W3CDTF">2026-08-11T15:33:51.377Z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