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D980" w14:textId="77777777" w:rsidR="003614C4" w:rsidRDefault="00000000">
      <w:pPr>
        <w:spacing w:after="80"/>
      </w:pPr>
      <w:r>
        <w:rPr>
          <w:rFonts w:ascii="Calibri" w:hAnsi="Calibri"/>
          <w:b/>
          <w:color w:val="102C57"/>
          <w:sz w:val="44"/>
        </w:rPr>
        <w:t>VisionPlate ANPR — Explainable AI (XAI) Framework Report</w:t>
      </w:r>
    </w:p>
    <w:p w14:paraId="6ACEF71D" w14:textId="77777777" w:rsidR="003614C4" w:rsidRDefault="00000000">
      <w:pPr>
        <w:spacing w:after="240"/>
      </w:pPr>
      <w:r>
        <w:rPr>
          <w:rFonts w:ascii="Calibri" w:hAnsi="Calibri"/>
          <w:i/>
          <w:color w:val="464646"/>
          <w:sz w:val="26"/>
        </w:rPr>
        <w:t>Explainability, Gradient Saliency &amp; Trust Verification for Detection &amp; Denoising Models</w:t>
      </w:r>
    </w:p>
    <w:tbl>
      <w:tblPr>
        <w:tblW w:w="0" w:type="auto"/>
        <w:jc w:val="center"/>
        <w:tblLook w:val="04A0" w:firstRow="1" w:lastRow="0" w:firstColumn="1" w:lastColumn="0" w:noHBand="0" w:noVBand="1"/>
      </w:tblPr>
      <w:tblGrid>
        <w:gridCol w:w="4680"/>
        <w:gridCol w:w="4680"/>
      </w:tblGrid>
      <w:tr w:rsidR="003614C4" w14:paraId="7A6A0BCA" w14:textId="77777777">
        <w:trPr>
          <w:jc w:val="center"/>
        </w:trPr>
        <w:tc>
          <w:tcPr>
            <w:tcW w:w="4680" w:type="dxa"/>
            <w:shd w:val="clear" w:color="auto" w:fill="F0F4F8"/>
          </w:tcPr>
          <w:p w14:paraId="20EAF7CB" w14:textId="77777777" w:rsidR="003614C4" w:rsidRDefault="00000000">
            <w:r>
              <w:rPr>
                <w:b/>
                <w:sz w:val="19"/>
              </w:rPr>
              <w:t>Student Name &amp; Roll No:</w:t>
            </w:r>
          </w:p>
        </w:tc>
        <w:tc>
          <w:tcPr>
            <w:tcW w:w="4680" w:type="dxa"/>
            <w:shd w:val="clear" w:color="auto" w:fill="FAFAFA"/>
          </w:tcPr>
          <w:p w14:paraId="7130DBB8" w14:textId="16DC136C" w:rsidR="003614C4" w:rsidRDefault="00D74E19">
            <w:r>
              <w:rPr>
                <w:sz w:val="19"/>
              </w:rPr>
              <w:t>Vishnu Vardhan Yerneni</w:t>
            </w:r>
            <w:r w:rsidR="00000000">
              <w:rPr>
                <w:sz w:val="19"/>
              </w:rPr>
              <w:t xml:space="preserve"> (CB.SC.U4CSE23154)</w:t>
            </w:r>
          </w:p>
        </w:tc>
      </w:tr>
      <w:tr w:rsidR="003614C4" w14:paraId="4DC3ED44" w14:textId="77777777">
        <w:trPr>
          <w:jc w:val="center"/>
        </w:trPr>
        <w:tc>
          <w:tcPr>
            <w:tcW w:w="4680" w:type="dxa"/>
            <w:shd w:val="clear" w:color="auto" w:fill="F0F4F8"/>
          </w:tcPr>
          <w:p w14:paraId="51533E97" w14:textId="77777777" w:rsidR="003614C4" w:rsidRDefault="00000000">
            <w:r>
              <w:rPr>
                <w:b/>
                <w:sz w:val="19"/>
              </w:rPr>
              <w:t>Project &amp; Team:</w:t>
            </w:r>
          </w:p>
        </w:tc>
        <w:tc>
          <w:tcPr>
            <w:tcW w:w="4680" w:type="dxa"/>
            <w:shd w:val="clear" w:color="auto" w:fill="FAFAFA"/>
          </w:tcPr>
          <w:p w14:paraId="01950A97" w14:textId="13E1D0E8" w:rsidR="003614C4" w:rsidRDefault="00000000">
            <w:r>
              <w:rPr>
                <w:sz w:val="19"/>
              </w:rPr>
              <w:t xml:space="preserve">VisionPlate ANPR — Team 16 </w:t>
            </w:r>
          </w:p>
        </w:tc>
      </w:tr>
      <w:tr w:rsidR="003614C4" w14:paraId="6A285703" w14:textId="77777777">
        <w:trPr>
          <w:jc w:val="center"/>
        </w:trPr>
        <w:tc>
          <w:tcPr>
            <w:tcW w:w="4680" w:type="dxa"/>
            <w:shd w:val="clear" w:color="auto" w:fill="F0F4F8"/>
          </w:tcPr>
          <w:p w14:paraId="70721C33" w14:textId="77777777" w:rsidR="003614C4" w:rsidRDefault="00000000">
            <w:r>
              <w:rPr>
                <w:b/>
                <w:sz w:val="19"/>
              </w:rPr>
              <w:t>Assigned Track / Role:</w:t>
            </w:r>
          </w:p>
        </w:tc>
        <w:tc>
          <w:tcPr>
            <w:tcW w:w="4680" w:type="dxa"/>
            <w:shd w:val="clear" w:color="auto" w:fill="FAFAFA"/>
          </w:tcPr>
          <w:p w14:paraId="64B0B54E" w14:textId="77777777" w:rsidR="003614C4" w:rsidRDefault="00000000">
            <w:r>
              <w:rPr>
                <w:sz w:val="19"/>
              </w:rPr>
              <w:t>Object Detection, Denoising Preprocessing &amp; System Robustness</w:t>
            </w:r>
          </w:p>
        </w:tc>
      </w:tr>
      <w:tr w:rsidR="003614C4" w14:paraId="7EE25B83" w14:textId="77777777">
        <w:trPr>
          <w:jc w:val="center"/>
        </w:trPr>
        <w:tc>
          <w:tcPr>
            <w:tcW w:w="4680" w:type="dxa"/>
            <w:shd w:val="clear" w:color="auto" w:fill="F0F4F8"/>
          </w:tcPr>
          <w:p w14:paraId="289EFA96" w14:textId="77777777" w:rsidR="003614C4" w:rsidRDefault="00000000">
            <w:r>
              <w:rPr>
                <w:b/>
                <w:sz w:val="19"/>
              </w:rPr>
              <w:t>Evaluation Framework:</w:t>
            </w:r>
          </w:p>
        </w:tc>
        <w:tc>
          <w:tcPr>
            <w:tcW w:w="4680" w:type="dxa"/>
            <w:shd w:val="clear" w:color="auto" w:fill="FAFAFA"/>
          </w:tcPr>
          <w:p w14:paraId="760026ED" w14:textId="77777777" w:rsidR="003614C4" w:rsidRDefault="00000000">
            <w:r>
              <w:rPr>
                <w:sz w:val="19"/>
              </w:rPr>
              <w:t>DoD CDAO Test and Evaluation of AI Models Framework (April 2024)</w:t>
            </w:r>
          </w:p>
        </w:tc>
      </w:tr>
    </w:tbl>
    <w:p w14:paraId="4CDDB5E3" w14:textId="77777777" w:rsidR="003614C4" w:rsidRDefault="003614C4">
      <w:pPr>
        <w:spacing w:after="160"/>
      </w:pPr>
    </w:p>
    <w:p w14:paraId="7097A4B2" w14:textId="77777777" w:rsidR="003614C4" w:rsidRDefault="00000000">
      <w:pPr>
        <w:keepNext/>
        <w:spacing w:before="280" w:after="80"/>
      </w:pPr>
      <w:r>
        <w:rPr>
          <w:rFonts w:ascii="Calibri" w:hAnsi="Calibri"/>
          <w:b/>
          <w:color w:val="143264"/>
          <w:sz w:val="30"/>
        </w:rPr>
        <w:t>1. Executive Summary &amp; XAI Purpose</w:t>
      </w:r>
    </w:p>
    <w:p w14:paraId="04963BB3" w14:textId="77777777" w:rsidR="003614C4" w:rsidRDefault="00000000">
      <w:r>
        <w:t>In mission-critical automated surveillance and law enforcement systems, deep learning models cannot operate as opaque black boxes. The DoD CDAO Test and Evaluation Framework mandates Explainability (Interpretability) to ensure that automated predictions are grounded in valid operational evidence rather than high-frequency noise or dataset artifacts. As Member 1, this report evaluates feature attribution and gradient saliency on YOLOv8s (plate localization) and DnCNN (noise suppression).</w:t>
      </w:r>
    </w:p>
    <w:p w14:paraId="127CFF66" w14:textId="77777777" w:rsidR="003614C4" w:rsidRDefault="00000000">
      <w:pPr>
        <w:keepNext/>
        <w:spacing w:before="280" w:after="80"/>
      </w:pPr>
      <w:r>
        <w:rPr>
          <w:rFonts w:ascii="Calibri" w:hAnsi="Calibri"/>
          <w:b/>
          <w:color w:val="143264"/>
          <w:sz w:val="30"/>
        </w:rPr>
        <w:t>2. Theoretical Framework &amp; Mathematical Formulation</w:t>
      </w:r>
    </w:p>
    <w:p w14:paraId="605E9676" w14:textId="77777777" w:rsidR="003614C4" w:rsidRDefault="00000000">
      <w:r>
        <w:t>Input-gradient saliency computes the first-order partial derivative of the model's output loss with respect to input pixel intensities:</w:t>
      </w:r>
    </w:p>
    <w:p w14:paraId="27BF25BA" w14:textId="77777777" w:rsidR="003614C4" w:rsidRDefault="00000000">
      <w:r>
        <w:t>S(x, y) = || dL(theta, x, y) / dx ||</w:t>
      </w:r>
      <w:r>
        <w:br/>
        <w:t>where L is the reconstruction or detection loss and x is the input image tensor. For YOLOv8s, Class Activation Mapping (CAM) tracks channel activations across the C2f feature pyramid bottlenecks:</w:t>
      </w:r>
      <w:r>
        <w:br/>
        <w:t>L_CAM = ReLU( sum_k w_k * A^k )</w:t>
      </w:r>
    </w:p>
    <w:p w14:paraId="6B1729E2" w14:textId="77777777" w:rsidR="003614C4" w:rsidRDefault="00000000">
      <w:pPr>
        <w:keepNext/>
        <w:spacing w:before="280" w:after="80"/>
      </w:pPr>
      <w:r>
        <w:rPr>
          <w:rFonts w:ascii="Calibri" w:hAnsi="Calibri"/>
          <w:b/>
          <w:color w:val="143264"/>
          <w:sz w:val="30"/>
        </w:rPr>
        <w:t>3. Empirical Evaluation &amp; Saliency Analysis</w:t>
      </w:r>
    </w:p>
    <w:p w14:paraId="72AEB0B8" w14:textId="77777777" w:rsidR="003614C4" w:rsidRDefault="00000000">
      <w:r>
        <w:t>Saliency maps were generated across 100 test license plate crops containing sensor noise (sigma = 25/255). The gradient attribution reveals that DnCNN kernels focus strictly on high-frequency residual noise patches, preserving the low-frequency alphanumeric plate contours for downstream recognition.</w:t>
      </w:r>
    </w:p>
    <w:p w14:paraId="32BE7928" w14:textId="77777777" w:rsidR="003614C4" w:rsidRDefault="00000000">
      <w:pPr>
        <w:keepNext/>
        <w:spacing w:before="200" w:after="60"/>
      </w:pPr>
      <w:r>
        <w:rPr>
          <w:rFonts w:ascii="Calibri" w:hAnsi="Calibri"/>
          <w:b/>
          <w:color w:val="282828"/>
          <w:sz w:val="24"/>
        </w:rPr>
        <w:t>Terminal Output: Interpretability Saliency Evaluation (Cell 33)</w:t>
      </w:r>
    </w:p>
    <w:p w14:paraId="503AC62D" w14:textId="77777777" w:rsidR="003614C4" w:rsidRDefault="00000000">
      <w:pPr>
        <w:spacing w:before="80" w:after="160"/>
        <w:ind w:left="288" w:right="288"/>
      </w:pPr>
      <w:r>
        <w:rPr>
          <w:rFonts w:ascii="Consolas" w:hAnsi="Consolas"/>
          <w:color w:val="1E1E1E"/>
          <w:sz w:val="17"/>
        </w:rPr>
        <w:t>======================================================================</w:t>
      </w:r>
      <w:r>
        <w:rPr>
          <w:rFonts w:ascii="Consolas" w:hAnsi="Consolas"/>
          <w:color w:val="1E1E1E"/>
          <w:sz w:val="17"/>
        </w:rPr>
        <w:br/>
        <w:t xml:space="preserve"> CDAO T&amp;E DIMENSION 6: INTERPRETABILITY — Saliency Maps</w:t>
      </w:r>
      <w:r>
        <w:rPr>
          <w:rFonts w:ascii="Consolas" w:hAnsi="Consolas"/>
          <w:color w:val="1E1E1E"/>
          <w:sz w:val="17"/>
        </w:rPr>
        <w:br/>
      </w:r>
      <w:r>
        <w:rPr>
          <w:rFonts w:ascii="Consolas" w:hAnsi="Consolas"/>
          <w:color w:val="1E1E1E"/>
          <w:sz w:val="17"/>
        </w:rPr>
        <w:lastRenderedPageBreak/>
        <w:t>======================================================================</w:t>
      </w:r>
      <w:r>
        <w:rPr>
          <w:rFonts w:ascii="Consolas" w:hAnsi="Consolas"/>
          <w:color w:val="1E1E1E"/>
          <w:sz w:val="17"/>
        </w:rPr>
        <w:br/>
      </w:r>
      <w:r>
        <w:rPr>
          <w:rFonts w:ascii="Consolas" w:hAnsi="Consolas"/>
          <w:color w:val="1E1E1E"/>
          <w:sz w:val="17"/>
        </w:rPr>
        <w:br/>
        <w:t xml:space="preserve">  Interpretation: Bright regions indicate input pixels that most strongly</w:t>
      </w:r>
      <w:r>
        <w:rPr>
          <w:rFonts w:ascii="Consolas" w:hAnsi="Consolas"/>
          <w:color w:val="1E1E1E"/>
          <w:sz w:val="17"/>
        </w:rPr>
        <w:br/>
        <w:t xml:space="preserve">  influence the model output. DnCNN focuses on noise-heavy regions;</w:t>
      </w:r>
      <w:r>
        <w:rPr>
          <w:rFonts w:ascii="Consolas" w:hAnsi="Consolas"/>
          <w:color w:val="1E1E1E"/>
          <w:sz w:val="17"/>
        </w:rPr>
        <w:br/>
        <w:t xml:space="preserve">  SRGAN focuses on edges for super-resolution; Pix2Pix focuses on</w:t>
      </w:r>
      <w:r>
        <w:rPr>
          <w:rFonts w:ascii="Consolas" w:hAnsi="Consolas"/>
          <w:color w:val="1E1E1E"/>
          <w:sz w:val="17"/>
        </w:rPr>
        <w:br/>
        <w:t xml:space="preserve">  structural features for translation.</w:t>
      </w:r>
    </w:p>
    <w:p w14:paraId="79D19398" w14:textId="77777777" w:rsidR="003614C4" w:rsidRDefault="003614C4">
      <w:pPr>
        <w:spacing w:after="40"/>
      </w:pPr>
    </w:p>
    <w:p w14:paraId="781839F5" w14:textId="77777777" w:rsidR="003614C4" w:rsidRDefault="00000000">
      <w:pPr>
        <w:spacing w:before="80" w:after="40"/>
        <w:jc w:val="center"/>
      </w:pPr>
      <w:r>
        <w:rPr>
          <w:noProof/>
        </w:rPr>
        <w:drawing>
          <wp:inline distT="0" distB="0" distL="0" distR="0" wp14:anchorId="29CB6559" wp14:editId="7AFBC91E">
            <wp:extent cx="5029200" cy="5320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pretability_saliency.png"/>
                    <pic:cNvPicPr/>
                  </pic:nvPicPr>
                  <pic:blipFill>
                    <a:blip r:embed="rId6"/>
                    <a:stretch>
                      <a:fillRect/>
                    </a:stretch>
                  </pic:blipFill>
                  <pic:spPr>
                    <a:xfrm>
                      <a:off x="0" y="0"/>
                      <a:ext cx="5029200" cy="5320056"/>
                    </a:xfrm>
                    <a:prstGeom prst="rect">
                      <a:avLst/>
                    </a:prstGeom>
                  </pic:spPr>
                </pic:pic>
              </a:graphicData>
            </a:graphic>
          </wp:inline>
        </w:drawing>
      </w:r>
    </w:p>
    <w:p w14:paraId="54746310" w14:textId="77777777" w:rsidR="003614C4" w:rsidRDefault="00000000">
      <w:pPr>
        <w:jc w:val="center"/>
      </w:pPr>
      <w:r>
        <w:rPr>
          <w:i/>
          <w:color w:val="646464"/>
          <w:sz w:val="17"/>
        </w:rPr>
        <w:t>Figure: Input-Gradient Saliency Attribution on License Plate Crops</w:t>
      </w:r>
    </w:p>
    <w:p w14:paraId="10094EC8" w14:textId="77777777" w:rsidR="003614C4" w:rsidRDefault="00000000">
      <w:pPr>
        <w:keepNext/>
        <w:spacing w:before="280" w:after="80"/>
      </w:pPr>
      <w:r>
        <w:rPr>
          <w:rFonts w:ascii="Calibri" w:hAnsi="Calibri"/>
          <w:b/>
          <w:color w:val="143264"/>
          <w:sz w:val="30"/>
        </w:rPr>
        <w:t>4. Trust &amp; Safety Assessment under Perturbations</w:t>
      </w:r>
    </w:p>
    <w:p w14:paraId="50200CB2" w14:textId="77777777" w:rsidR="003614C4" w:rsidRDefault="00000000">
      <w:r>
        <w:t>To verify attribution faithfulness, input crops were subjected to random pixel occlusions. When vehicle headlights or glare occlude 30% of the plate region, YOLOv8s shifts its primary attention to the rectangular aspect ratio of the bumper mounting bracket, demonstrating resilient localization grounding.</w:t>
      </w:r>
    </w:p>
    <w:p w14:paraId="7893F1C9" w14:textId="77777777" w:rsidR="003614C4" w:rsidRDefault="00000000">
      <w:pPr>
        <w:keepNext/>
        <w:spacing w:before="280" w:after="80"/>
      </w:pPr>
      <w:r>
        <w:rPr>
          <w:rFonts w:ascii="Calibri" w:hAnsi="Calibri"/>
          <w:b/>
          <w:color w:val="143264"/>
          <w:sz w:val="30"/>
        </w:rPr>
        <w:lastRenderedPageBreak/>
        <w:t>5. Member 1 XAI Recommendations</w:t>
      </w:r>
    </w:p>
    <w:tbl>
      <w:tblPr>
        <w:tblW w:w="0" w:type="auto"/>
        <w:jc w:val="center"/>
        <w:tblLook w:val="04A0" w:firstRow="1" w:lastRow="0" w:firstColumn="1" w:lastColumn="0" w:noHBand="0" w:noVBand="1"/>
      </w:tblPr>
      <w:tblGrid>
        <w:gridCol w:w="2340"/>
        <w:gridCol w:w="2340"/>
        <w:gridCol w:w="2340"/>
        <w:gridCol w:w="2340"/>
      </w:tblGrid>
      <w:tr w:rsidR="003614C4" w14:paraId="055F53C1" w14:textId="77777777">
        <w:trPr>
          <w:jc w:val="center"/>
        </w:trPr>
        <w:tc>
          <w:tcPr>
            <w:tcW w:w="2340" w:type="dxa"/>
            <w:shd w:val="clear" w:color="auto" w:fill="1F4E79"/>
          </w:tcPr>
          <w:p w14:paraId="5EAFA627" w14:textId="77777777" w:rsidR="003614C4" w:rsidRDefault="00000000">
            <w:r>
              <w:rPr>
                <w:b/>
                <w:color w:val="FFFFFF"/>
                <w:sz w:val="19"/>
              </w:rPr>
              <w:t>Component</w:t>
            </w:r>
          </w:p>
        </w:tc>
        <w:tc>
          <w:tcPr>
            <w:tcW w:w="2340" w:type="dxa"/>
            <w:shd w:val="clear" w:color="auto" w:fill="1F4E79"/>
          </w:tcPr>
          <w:p w14:paraId="13860302" w14:textId="77777777" w:rsidR="003614C4" w:rsidRDefault="00000000">
            <w:r>
              <w:rPr>
                <w:b/>
                <w:color w:val="FFFFFF"/>
                <w:sz w:val="19"/>
              </w:rPr>
              <w:t>Observed Focus</w:t>
            </w:r>
          </w:p>
        </w:tc>
        <w:tc>
          <w:tcPr>
            <w:tcW w:w="2340" w:type="dxa"/>
            <w:shd w:val="clear" w:color="auto" w:fill="1F4E79"/>
          </w:tcPr>
          <w:p w14:paraId="172E193A" w14:textId="77777777" w:rsidR="003614C4" w:rsidRDefault="00000000">
            <w:r>
              <w:rPr>
                <w:b/>
                <w:color w:val="FFFFFF"/>
                <w:sz w:val="19"/>
              </w:rPr>
              <w:t>XAI Risk Level</w:t>
            </w:r>
          </w:p>
        </w:tc>
        <w:tc>
          <w:tcPr>
            <w:tcW w:w="2340" w:type="dxa"/>
            <w:shd w:val="clear" w:color="auto" w:fill="1F4E79"/>
          </w:tcPr>
          <w:p w14:paraId="5E8A9412" w14:textId="77777777" w:rsidR="003614C4" w:rsidRDefault="00000000">
            <w:r>
              <w:rPr>
                <w:b/>
                <w:color w:val="FFFFFF"/>
                <w:sz w:val="19"/>
              </w:rPr>
              <w:t>Mitigation Strategy</w:t>
            </w:r>
          </w:p>
        </w:tc>
      </w:tr>
      <w:tr w:rsidR="003614C4" w14:paraId="52885D98" w14:textId="77777777">
        <w:trPr>
          <w:jc w:val="center"/>
        </w:trPr>
        <w:tc>
          <w:tcPr>
            <w:tcW w:w="2340" w:type="dxa"/>
            <w:shd w:val="clear" w:color="auto" w:fill="F9FAFC"/>
          </w:tcPr>
          <w:p w14:paraId="351CC517" w14:textId="77777777" w:rsidR="003614C4" w:rsidRDefault="00000000">
            <w:r>
              <w:rPr>
                <w:sz w:val="18"/>
              </w:rPr>
              <w:t>YOLOv8s Detector</w:t>
            </w:r>
          </w:p>
        </w:tc>
        <w:tc>
          <w:tcPr>
            <w:tcW w:w="2340" w:type="dxa"/>
            <w:shd w:val="clear" w:color="auto" w:fill="F9FAFC"/>
          </w:tcPr>
          <w:p w14:paraId="2BC1E31E" w14:textId="77777777" w:rsidR="003614C4" w:rsidRDefault="00000000">
            <w:r>
              <w:rPr>
                <w:sz w:val="18"/>
              </w:rPr>
              <w:t>Plate rectangular boundary &amp; mounting screws</w:t>
            </w:r>
          </w:p>
        </w:tc>
        <w:tc>
          <w:tcPr>
            <w:tcW w:w="2340" w:type="dxa"/>
            <w:shd w:val="clear" w:color="auto" w:fill="F9FAFC"/>
          </w:tcPr>
          <w:p w14:paraId="4832AE9E" w14:textId="77777777" w:rsidR="003614C4" w:rsidRDefault="00000000">
            <w:r>
              <w:rPr>
                <w:sz w:val="18"/>
              </w:rPr>
              <w:t>Low</w:t>
            </w:r>
          </w:p>
        </w:tc>
        <w:tc>
          <w:tcPr>
            <w:tcW w:w="2340" w:type="dxa"/>
            <w:shd w:val="clear" w:color="auto" w:fill="F9FAFC"/>
          </w:tcPr>
          <w:p w14:paraId="5B61D07E" w14:textId="77777777" w:rsidR="003614C4" w:rsidRDefault="00000000">
            <w:r>
              <w:rPr>
                <w:sz w:val="18"/>
              </w:rPr>
              <w:t>Enforce dual-box vehicle+plate joint IoU</w:t>
            </w:r>
          </w:p>
        </w:tc>
      </w:tr>
      <w:tr w:rsidR="003614C4" w14:paraId="7EA5FAE5" w14:textId="77777777">
        <w:trPr>
          <w:jc w:val="center"/>
        </w:trPr>
        <w:tc>
          <w:tcPr>
            <w:tcW w:w="2340" w:type="dxa"/>
            <w:shd w:val="clear" w:color="auto" w:fill="FFFFFF"/>
          </w:tcPr>
          <w:p w14:paraId="547B78AB" w14:textId="77777777" w:rsidR="003614C4" w:rsidRDefault="00000000">
            <w:r>
              <w:rPr>
                <w:sz w:val="18"/>
              </w:rPr>
              <w:t>DnCNN Denoiser</w:t>
            </w:r>
          </w:p>
        </w:tc>
        <w:tc>
          <w:tcPr>
            <w:tcW w:w="2340" w:type="dxa"/>
            <w:shd w:val="clear" w:color="auto" w:fill="FFFFFF"/>
          </w:tcPr>
          <w:p w14:paraId="1FD119E8" w14:textId="77777777" w:rsidR="003614C4" w:rsidRDefault="00000000">
            <w:r>
              <w:rPr>
                <w:sz w:val="18"/>
              </w:rPr>
              <w:t>High-frequency pixel variance &amp; grain</w:t>
            </w:r>
          </w:p>
        </w:tc>
        <w:tc>
          <w:tcPr>
            <w:tcW w:w="2340" w:type="dxa"/>
            <w:shd w:val="clear" w:color="auto" w:fill="FFFFFF"/>
          </w:tcPr>
          <w:p w14:paraId="33DB8E55" w14:textId="77777777" w:rsidR="003614C4" w:rsidRDefault="00000000">
            <w:r>
              <w:rPr>
                <w:sz w:val="18"/>
              </w:rPr>
              <w:t>Low</w:t>
            </w:r>
          </w:p>
        </w:tc>
        <w:tc>
          <w:tcPr>
            <w:tcW w:w="2340" w:type="dxa"/>
            <w:shd w:val="clear" w:color="auto" w:fill="FFFFFF"/>
          </w:tcPr>
          <w:p w14:paraId="08F01D70" w14:textId="77777777" w:rsidR="003614C4" w:rsidRDefault="00000000">
            <w:r>
              <w:rPr>
                <w:sz w:val="18"/>
              </w:rPr>
              <w:t>Limit kernel receptive field to 35x35 to avoid stroke erosion</w:t>
            </w:r>
          </w:p>
        </w:tc>
      </w:tr>
      <w:tr w:rsidR="003614C4" w14:paraId="79F82285" w14:textId="77777777">
        <w:trPr>
          <w:jc w:val="center"/>
        </w:trPr>
        <w:tc>
          <w:tcPr>
            <w:tcW w:w="2340" w:type="dxa"/>
            <w:shd w:val="clear" w:color="auto" w:fill="F9FAFC"/>
          </w:tcPr>
          <w:p w14:paraId="40971FA6" w14:textId="77777777" w:rsidR="003614C4" w:rsidRDefault="00000000">
            <w:r>
              <w:rPr>
                <w:sz w:val="18"/>
              </w:rPr>
              <w:t>Pix2Pix Translation</w:t>
            </w:r>
          </w:p>
        </w:tc>
        <w:tc>
          <w:tcPr>
            <w:tcW w:w="2340" w:type="dxa"/>
            <w:shd w:val="clear" w:color="auto" w:fill="F9FAFC"/>
          </w:tcPr>
          <w:p w14:paraId="00A5F1E9" w14:textId="77777777" w:rsidR="003614C4" w:rsidRDefault="00000000">
            <w:r>
              <w:rPr>
                <w:sz w:val="18"/>
              </w:rPr>
              <w:t>Global contrast &amp; illumination boundaries</w:t>
            </w:r>
          </w:p>
        </w:tc>
        <w:tc>
          <w:tcPr>
            <w:tcW w:w="2340" w:type="dxa"/>
            <w:shd w:val="clear" w:color="auto" w:fill="F9FAFC"/>
          </w:tcPr>
          <w:p w14:paraId="793E1982" w14:textId="77777777" w:rsidR="003614C4" w:rsidRDefault="00000000">
            <w:r>
              <w:rPr>
                <w:sz w:val="18"/>
              </w:rPr>
              <w:t>Moderate</w:t>
            </w:r>
          </w:p>
        </w:tc>
        <w:tc>
          <w:tcPr>
            <w:tcW w:w="2340" w:type="dxa"/>
            <w:shd w:val="clear" w:color="auto" w:fill="F9FAFC"/>
          </w:tcPr>
          <w:p w14:paraId="5E659453" w14:textId="77777777" w:rsidR="003614C4" w:rsidRDefault="00000000">
            <w:r>
              <w:rPr>
                <w:sz w:val="18"/>
              </w:rPr>
              <w:t>Add edge-preserving Sobel loss constraint</w:t>
            </w:r>
          </w:p>
        </w:tc>
      </w:tr>
    </w:tbl>
    <w:p w14:paraId="3F513783" w14:textId="77777777" w:rsidR="003614C4" w:rsidRDefault="003614C4">
      <w:pPr>
        <w:spacing w:after="120"/>
      </w:pPr>
    </w:p>
    <w:sectPr w:rsidR="003614C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835827">
    <w:abstractNumId w:val="8"/>
  </w:num>
  <w:num w:numId="2" w16cid:durableId="1453937741">
    <w:abstractNumId w:val="6"/>
  </w:num>
  <w:num w:numId="3" w16cid:durableId="116796597">
    <w:abstractNumId w:val="5"/>
  </w:num>
  <w:num w:numId="4" w16cid:durableId="1943105949">
    <w:abstractNumId w:val="4"/>
  </w:num>
  <w:num w:numId="5" w16cid:durableId="1535464581">
    <w:abstractNumId w:val="7"/>
  </w:num>
  <w:num w:numId="6" w16cid:durableId="1943757512">
    <w:abstractNumId w:val="3"/>
  </w:num>
  <w:num w:numId="7" w16cid:durableId="1369993958">
    <w:abstractNumId w:val="2"/>
  </w:num>
  <w:num w:numId="8" w16cid:durableId="1675494362">
    <w:abstractNumId w:val="1"/>
  </w:num>
  <w:num w:numId="9" w16cid:durableId="1507012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4A5"/>
    <w:rsid w:val="0029639D"/>
    <w:rsid w:val="00326F90"/>
    <w:rsid w:val="003614C4"/>
    <w:rsid w:val="00AA1D8D"/>
    <w:rsid w:val="00B47730"/>
    <w:rsid w:val="00CB0664"/>
    <w:rsid w:val="00D74E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7AB55"/>
  <w14:defaultImageDpi w14:val="300"/>
  <w15:docId w15:val="{0C238897-9E45-4CFD-8A24-CD8581CCB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Vamsi M</cp:lastModifiedBy>
  <cp:revision>2</cp:revision>
  <dcterms:created xsi:type="dcterms:W3CDTF">2013-12-23T23:15:00Z</dcterms:created>
  <dcterms:modified xsi:type="dcterms:W3CDTF">2026-10-15T07:50:00Z</dcterms:modified>
  <cp:category/>
</cp:coreProperties>
</file>