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— Business &amp; Finance</w:t>
      </w:r>
    </w:p>
    <w:p>
      <w:r>
        <w:t>Coldi • v2.3 • 14/10/2026</w:t>
      </w:r>
    </w:p>
    <w:p>
      <w:r>
        <w:t>Dành cho nhóm kinh tế: tách sự kiện vận hành, giả định tài chính, mô hình kinh doanh và đầu việc thẩm định.</w:t>
      </w:r>
    </w:p>
    <w:p>
      <w:pPr>
        <w:pStyle w:val="Heading1"/>
      </w:pPr>
      <w:r>
        <w:t>1. Giá trị mang lại</w:t>
      </w:r>
    </w:p>
    <w:p>
      <w:r>
        <w:t>Giúp Shipper tìm xe lạnh phù hợp và theo dõi chuyến; giúp Carrier tiếp cận đơn công khai và phân công đội xe thủ công; giá trị doanh thu/chi phí cần xác minh bằng nguồn nghiên cứu và pilot.</w:t>
      </w:r>
    </w:p>
    <w:p>
      <w:pPr>
        <w:pStyle w:val="Heading1"/>
      </w:pPr>
      <w:r>
        <w:t>2. Các giả định CHƯA PHÊ DUYỆT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Hạng mục</w:t>
            </w:r>
          </w:p>
        </w:tc>
        <w:tc>
          <w:tcPr>
            <w:tcW w:type="dxa" w:w="2880"/>
          </w:tcPr>
          <w:p>
            <w:r>
              <w:t>Giá trị/tình trạng tài liệu</w:t>
            </w:r>
          </w:p>
        </w:tc>
        <w:tc>
          <w:tcPr>
            <w:tcW w:type="dxa" w:w="2880"/>
          </w:tcPr>
          <w:p>
            <w:r>
              <w:t>Có thể vận hành?</w:t>
            </w:r>
          </w:p>
        </w:tc>
      </w:tr>
      <w:tr>
        <w:tc>
          <w:tcPr>
            <w:tcW w:type="dxa" w:w="2880"/>
          </w:tcPr>
          <w:p>
            <w:r>
              <w:t>Phí nền tảng</w:t>
            </w:r>
          </w:p>
        </w:tc>
        <w:tc>
          <w:tcPr>
            <w:tcW w:type="dxa" w:w="2880"/>
          </w:tcPr>
          <w:p>
            <w:r>
              <w:t>3% — giả định tham chiếu</w:t>
            </w:r>
          </w:p>
        </w:tc>
        <w:tc>
          <w:tcPr>
            <w:tcW w:type="dxa" w:w="2880"/>
          </w:tcPr>
          <w:p>
            <w:r>
              <w:t>KHÔNG</w:t>
            </w:r>
          </w:p>
        </w:tc>
      </w:tr>
      <w:tr>
        <w:tc>
          <w:tcPr>
            <w:tcW w:type="dxa" w:w="2880"/>
          </w:tcPr>
          <w:p>
            <w:r>
              <w:t>Công nợ Net 30</w:t>
            </w:r>
          </w:p>
        </w:tc>
        <w:tc>
          <w:tcPr>
            <w:tcW w:type="dxa" w:w="2880"/>
          </w:tcPr>
          <w:p>
            <w:r>
              <w:t>Giả định chính sách</w:t>
            </w:r>
          </w:p>
        </w:tc>
        <w:tc>
          <w:tcPr>
            <w:tcW w:type="dxa" w:w="2880"/>
          </w:tcPr>
          <w:p>
            <w:r>
              <w:t>KHÔNG</w:t>
            </w:r>
          </w:p>
        </w:tc>
      </w:tr>
      <w:tr>
        <w:tc>
          <w:tcPr>
            <w:tcW w:type="dxa" w:w="2880"/>
          </w:tcPr>
          <w:p>
            <w:r>
              <w:t>Hạn mức tín dụng</w:t>
            </w:r>
          </w:p>
        </w:tc>
        <w:tc>
          <w:tcPr>
            <w:tcW w:type="dxa" w:w="2880"/>
          </w:tcPr>
          <w:p>
            <w:r>
              <w:t>50.000.000 VND — giả định</w:t>
            </w:r>
          </w:p>
        </w:tc>
        <w:tc>
          <w:tcPr>
            <w:tcW w:type="dxa" w:w="2880"/>
          </w:tcPr>
          <w:p>
            <w:r>
              <w:t>KHÔNG</w:t>
            </w:r>
          </w:p>
        </w:tc>
      </w:tr>
      <w:tr>
        <w:tc>
          <w:tcPr>
            <w:tcW w:type="dxa" w:w="2880"/>
          </w:tcPr>
          <w:p>
            <w:r>
              <w:t>Giữ/giải tỏa cước</w:t>
            </w:r>
          </w:p>
        </w:tc>
        <w:tc>
          <w:tcPr>
            <w:tcW w:type="dxa" w:w="2880"/>
          </w:tcPr>
          <w:p>
            <w:r>
              <w:t>Escrow / hold-release dự thảo</w:t>
            </w:r>
          </w:p>
        </w:tc>
        <w:tc>
          <w:tcPr>
            <w:tcW w:type="dxa" w:w="2880"/>
          </w:tcPr>
          <w:p>
            <w:r>
              <w:t>KHÔNG</w:t>
            </w:r>
          </w:p>
        </w:tc>
      </w:tr>
      <w:tr>
        <w:tc>
          <w:tcPr>
            <w:tcW w:type="dxa" w:w="2880"/>
          </w:tcPr>
          <w:p>
            <w:r>
              <w:t>Tạm ứng cước Carrier</w:t>
            </w:r>
          </w:p>
        </w:tc>
        <w:tc>
          <w:tcPr>
            <w:tcW w:type="dxa" w:w="2880"/>
          </w:tcPr>
          <w:p>
            <w:r>
              <w:t>Ý tưởng ứng tiền phục vụ chi phí trước chuyến; tỷ lệ/điều kiện/chi trả TBD</w:t>
            </w:r>
          </w:p>
        </w:tc>
        <w:tc>
          <w:tcPr>
            <w:tcW w:type="dxa" w:w="2880"/>
          </w:tcPr>
          <w:p>
            <w:r>
              <w:t>KHÔNG</w:t>
            </w:r>
          </w:p>
        </w:tc>
      </w:tr>
    </w:tbl>
    <w:p>
      <w:pPr>
        <w:pStyle w:val="Heading1"/>
      </w:pPr>
      <w:r>
        <w:t>3. Phân biệt tài chính</w:t>
      </w:r>
    </w:p>
    <w:p>
      <w:r>
        <w:t>Cước niêm yết ≠ công nợ phải thu/phải trả ≠ hạn mức tín dụng ≠ giao dịch chuyển tiền. Tạm ứng Carrier KHÔNG phải đặt cọc/tạm giữ tiền Shipper. UI có thể hiển thị dự kiến nhưng backend không được tự động ghi nhận hoặc giải ngân.</w:t>
      </w:r>
    </w:p>
    <w:p>
      <w:pPr>
        <w:pStyle w:val="Heading1"/>
      </w:pPr>
      <w:r>
        <w:t>4. Đầu việc nhóm kinh tế phải bổ sung</w:t>
      </w:r>
    </w:p>
    <w:p>
      <w:r>
        <w:t>• Nguồn dữ liệu TAM/SAM/SOM, năm tham chiếu, cách tính và bằng chứng nghiên cứu sơ cấp.</w:t>
      </w:r>
    </w:p>
    <w:p>
      <w:r>
        <w:t>• Cấu trúc chi phí, unit economics và rủi ro hoàn tiền/hủy chuyến.</w:t>
      </w:r>
    </w:p>
    <w:p>
      <w:r>
        <w:t>• Điều kiện nhận tạm ứng, tỷ lệ, hạn mức, phí, nghĩa vụ thu hồi, nghiệp vụ kế toán/pháp lý.</w:t>
      </w:r>
    </w:p>
    <w:p>
      <w:r>
        <w:t>• Phương pháp nghiệm thu cước, thuế, hóa đơn, đối soát và xử lý tranh chấp.</w:t>
      </w:r>
    </w:p>
    <w:p>
      <w:r>
        <w:t>• Quy trình phê duyệt và ngày hiệu lực chính sách trước khi triển khai.</w:t>
      </w:r>
    </w:p>
    <w:sectPr w:rsidR="00FC693F" w:rsidRPr="0006063C" w:rsidSect="00034616">
      <w:pgSz w:w="12240" w:h="15840"/>
      <w:pgMar w:top="1440" w:right="1800" w:bottom="1440" w:left="180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3A8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