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Tuần 2: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Thêm link data, chỉnh lại phần đầu, cân nhắc bài toán thứ 2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Bổ sung Đặc trưng bộ dữ liệu: 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Thời gian thu thập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Thống kê: số lượng khóa học, số loại khóa học, số trường đại học, lĩnh vực, 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…</w:t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10"/>
        <w:gridCol w:w="4710"/>
        <w:tblGridChange w:id="0">
          <w:tblGrid>
            <w:gridCol w:w="4710"/>
            <w:gridCol w:w="47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Tên tài nguyên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Số lượng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Tài nguyên khóa học (Course Resource)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4,216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khóa học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Video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2,798,892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video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Bài tập (Exercise)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358,265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bài tập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Vấn đề (Problem)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2,454,397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vấn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Hồ sơ học sinh (Student Profile)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3,330,294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hồ sơ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Hành vi xem video (Video watching behavior)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154,332,174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dữ liệu gốc về nhật ký xem video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Hành vi bài tập (Exercise behavior)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133,384,333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bản ghi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Trả lời và bình luận (Comment and Reply)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8,422,134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bản ghi phản hồi bình luận</w:t>
            </w:r>
          </w:p>
        </w:tc>
      </w:tr>
    </w:tbl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→ cho thấy được độ đa dạng của dữ liệu</w:t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→ Nhận xét bộ dữ liệu có mới, có tương thích, có phức tạp</w:t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⇒ Bài toán: Gợi ý giảng viên,...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Caudex" w:cs="Caudex" w:eastAsia="Caudex" w:hAnsi="Caudex"/>
          <w:sz w:val="26"/>
          <w:szCs w:val="26"/>
          <w:rtl w:val="0"/>
        </w:rPr>
        <w:t xml:space="preserve">Bảng Problem → check kiểu câu hỏi, option key, value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Bài tập: dùng một file để dùng các kĩ thuật à quay video; vận dụng vào bài tập của nhóm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Tuần 3: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udex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udex-regular.ttf"/><Relationship Id="rId5" Type="http://schemas.openxmlformats.org/officeDocument/2006/relationships/font" Target="fonts/Caudex-bold.ttf"/><Relationship Id="rId6" Type="http://schemas.openxmlformats.org/officeDocument/2006/relationships/font" Target="fonts/Caudex-italic.ttf"/><Relationship Id="rId7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