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eastAsia="Times New Roman"/>
          <w:b/>
          <w:i w:val="0"/>
          <w:sz w:val="26"/>
        </w:rPr>
        <w:t>CỘNG HÒA XÃ HỘI CHỦ NGHĨA VIỆT NAM</w:t>
      </w:r>
    </w:p>
    <w:p>
      <w:pPr>
        <w:spacing w:after="40" w:line="276" w:lineRule="auto"/>
        <w:jc w:val="center"/>
      </w:pPr>
      <w:r>
        <w:rPr>
          <w:rFonts w:ascii="Times New Roman" w:hAnsi="Times New Roman" w:eastAsia="Times New Roman"/>
          <w:b/>
          <w:i w:val="0"/>
          <w:sz w:val="26"/>
        </w:rPr>
        <w:t>Độc lập - Tự do - Hạnh phúc</w:t>
      </w:r>
    </w:p>
    <w:p>
      <w:pPr>
        <w:spacing w:after="160" w:line="276" w:lineRule="auto"/>
        <w:jc w:val="center"/>
      </w:pPr>
      <w:r>
        <w:rPr>
          <w:rFonts w:ascii="Times New Roman" w:hAnsi="Times New Roman" w:eastAsia="Times New Roman"/>
          <w:b w:val="0"/>
          <w:i w:val="0"/>
          <w:sz w:val="24"/>
        </w:rPr>
        <w:t>----------------</w:t>
      </w:r>
    </w:p>
    <w:p>
      <w:pPr>
        <w:spacing w:after="160" w:line="276" w:lineRule="auto"/>
        <w:jc w:val="right"/>
      </w:pPr>
      <w:r>
        <w:rPr>
          <w:rFonts w:ascii="Times New Roman" w:hAnsi="Times New Roman" w:eastAsia="Times New Roman"/>
          <w:b w:val="0"/>
          <w:i/>
          <w:sz w:val="25"/>
        </w:rPr>
        <w:t>………, ngày …… tháng …… năm ……</w:t>
      </w:r>
    </w:p>
    <w:p>
      <w:pPr>
        <w:spacing w:after="40" w:line="276" w:lineRule="auto"/>
        <w:jc w:val="center"/>
      </w:pPr>
      <w:r>
        <w:rPr>
          <w:rFonts w:ascii="Times New Roman" w:hAnsi="Times New Roman" w:eastAsia="Times New Roman"/>
          <w:b/>
          <w:i w:val="0"/>
          <w:sz w:val="25"/>
        </w:rPr>
        <w:t>Số: ……/HĐHT-SG</w:t>
      </w:r>
    </w:p>
    <w:p>
      <w:pPr>
        <w:spacing w:before="160" w:after="120"/>
        <w:jc w:val="center"/>
      </w:pPr>
      <w:r>
        <w:rPr>
          <w:rFonts w:ascii="Times New Roman" w:hAnsi="Times New Roman" w:eastAsia="Times New Roman"/>
          <w:b/>
          <w:i w:val="0"/>
          <w:sz w:val="28"/>
        </w:rPr>
        <w:t>HỢP ĐỒNG HỢP TÁC ĐỐI TÁC SPORTGO</w:t>
      </w:r>
    </w:p>
    <w:p>
      <w:pPr>
        <w:spacing w:after="80" w:line="276" w:lineRule="auto"/>
        <w:ind w:firstLine="567"/>
        <w:jc w:val="both"/>
      </w:pPr>
      <w:r>
        <w:rPr>
          <w:rFonts w:ascii="Times New Roman" w:hAnsi="Times New Roman" w:eastAsia="Times New Roman"/>
          <w:b w:val="0"/>
          <w:i w:val="0"/>
          <w:sz w:val="25"/>
        </w:rPr>
        <w:t>Căn cứ Bộ luật Dân sự và các quy định pháp luật có liên quan; căn cứ nhu cầu hợp tác giữa các bên; căn cứ hồ sơ đăng ký đối tác/chủ sân đã được SportGo thẩm định và phê duyệt, hôm nay các bên thống nhất ký kết Hợp đồng hợp tác đối tác SportGo với các nội dung sau:</w:t>
      </w:r>
    </w:p>
    <w:p>
      <w:pPr>
        <w:spacing w:before="160" w:after="80"/>
      </w:pPr>
      <w:r>
        <w:rPr>
          <w:rFonts w:ascii="Times New Roman" w:hAnsi="Times New Roman" w:eastAsia="Times New Roman"/>
          <w:b/>
          <w:i w:val="0"/>
          <w:sz w:val="26"/>
        </w:rPr>
        <w:t>BÊN A: ĐƠN VỊ VẬN HÀNH NỀN TẢNG SPORTGO</w:t>
      </w:r>
    </w:p>
    <w:p>
      <w:pPr>
        <w:spacing w:after="40" w:line="276" w:lineRule="auto"/>
      </w:pPr>
      <w:r>
        <w:rPr>
          <w:rFonts w:ascii="Times New Roman" w:hAnsi="Times New Roman" w:eastAsia="Times New Roman"/>
          <w:b w:val="0"/>
          <w:i w:val="0"/>
          <w:sz w:val="25"/>
        </w:rPr>
        <w:t>- Tên đơn vị: ........................................................................................................................</w:t>
      </w:r>
    </w:p>
    <w:p>
      <w:pPr>
        <w:spacing w:after="40" w:line="276" w:lineRule="auto"/>
      </w:pPr>
      <w:r>
        <w:rPr>
          <w:rFonts w:ascii="Times New Roman" w:hAnsi="Times New Roman" w:eastAsia="Times New Roman"/>
          <w:b w:val="0"/>
          <w:i w:val="0"/>
          <w:sz w:val="25"/>
        </w:rPr>
        <w:t>- Mã số thuế/đăng ký kinh doanh: ........................................................................................................................</w:t>
      </w:r>
    </w:p>
    <w:p>
      <w:pPr>
        <w:spacing w:after="40" w:line="276" w:lineRule="auto"/>
      </w:pPr>
      <w:r>
        <w:rPr>
          <w:rFonts w:ascii="Times New Roman" w:hAnsi="Times New Roman" w:eastAsia="Times New Roman"/>
          <w:b w:val="0"/>
          <w:i w:val="0"/>
          <w:sz w:val="25"/>
        </w:rPr>
        <w:t>- Địa chỉ: ........................................................................................................................</w:t>
      </w:r>
    </w:p>
    <w:p>
      <w:pPr>
        <w:spacing w:after="40" w:line="276" w:lineRule="auto"/>
      </w:pPr>
      <w:r>
        <w:rPr>
          <w:rFonts w:ascii="Times New Roman" w:hAnsi="Times New Roman" w:eastAsia="Times New Roman"/>
          <w:b w:val="0"/>
          <w:i w:val="0"/>
          <w:sz w:val="25"/>
        </w:rPr>
        <w:t>- Người đại diện: ........................................................................................................................</w:t>
      </w:r>
    </w:p>
    <w:p>
      <w:pPr>
        <w:spacing w:after="40" w:line="276" w:lineRule="auto"/>
      </w:pPr>
      <w:r>
        <w:rPr>
          <w:rFonts w:ascii="Times New Roman" w:hAnsi="Times New Roman" w:eastAsia="Times New Roman"/>
          <w:b w:val="0"/>
          <w:i w:val="0"/>
          <w:sz w:val="25"/>
        </w:rPr>
        <w:t>- Chức vụ: ........................................................................................................................</w:t>
      </w:r>
    </w:p>
    <w:p>
      <w:pPr>
        <w:spacing w:after="40" w:line="276" w:lineRule="auto"/>
      </w:pPr>
      <w:r>
        <w:rPr>
          <w:rFonts w:ascii="Times New Roman" w:hAnsi="Times New Roman" w:eastAsia="Times New Roman"/>
          <w:b w:val="0"/>
          <w:i w:val="0"/>
          <w:sz w:val="25"/>
        </w:rPr>
        <w:t>- Số điện thoại/Email: ........................................................................................................................</w:t>
      </w:r>
    </w:p>
    <w:p>
      <w:pPr>
        <w:spacing w:before="160" w:after="80"/>
      </w:pPr>
      <w:r>
        <w:rPr>
          <w:rFonts w:ascii="Times New Roman" w:hAnsi="Times New Roman" w:eastAsia="Times New Roman"/>
          <w:b/>
          <w:i w:val="0"/>
          <w:sz w:val="26"/>
        </w:rPr>
        <w:t>BÊN B: ĐỐI TÁC/CHỦ SÂN</w:t>
      </w:r>
    </w:p>
    <w:p>
      <w:pPr>
        <w:spacing w:after="40" w:line="276" w:lineRule="auto"/>
      </w:pPr>
      <w:r>
        <w:rPr>
          <w:rFonts w:ascii="Times New Roman" w:hAnsi="Times New Roman" w:eastAsia="Times New Roman"/>
          <w:b w:val="0"/>
          <w:i w:val="0"/>
          <w:sz w:val="25"/>
        </w:rPr>
        <w:t>- Họ tên/Tên tổ chức: ........................................................................................................................</w:t>
      </w:r>
    </w:p>
    <w:p>
      <w:pPr>
        <w:spacing w:after="40" w:line="276" w:lineRule="auto"/>
      </w:pPr>
      <w:r>
        <w:rPr>
          <w:rFonts w:ascii="Times New Roman" w:hAnsi="Times New Roman" w:eastAsia="Times New Roman"/>
          <w:b w:val="0"/>
          <w:i w:val="0"/>
          <w:sz w:val="25"/>
        </w:rPr>
        <w:t>- Số CCCD/CMND/Hộ chiếu hoặc mã số kinh doanh: ........................................................................................................................</w:t>
      </w:r>
    </w:p>
    <w:p>
      <w:pPr>
        <w:spacing w:after="40" w:line="276" w:lineRule="auto"/>
      </w:pPr>
      <w:r>
        <w:rPr>
          <w:rFonts w:ascii="Times New Roman" w:hAnsi="Times New Roman" w:eastAsia="Times New Roman"/>
          <w:b w:val="0"/>
          <w:i w:val="0"/>
          <w:sz w:val="25"/>
        </w:rPr>
        <w:t>- Địa chỉ liên hệ: ........................................................................................................................</w:t>
      </w:r>
    </w:p>
    <w:p>
      <w:pPr>
        <w:spacing w:after="40" w:line="276" w:lineRule="auto"/>
      </w:pPr>
      <w:r>
        <w:rPr>
          <w:rFonts w:ascii="Times New Roman" w:hAnsi="Times New Roman" w:eastAsia="Times New Roman"/>
          <w:b w:val="0"/>
          <w:i w:val="0"/>
          <w:sz w:val="25"/>
        </w:rPr>
        <w:t>- Người đại diện nếu là tổ chức: ........................................................................................................................</w:t>
      </w:r>
    </w:p>
    <w:p>
      <w:pPr>
        <w:spacing w:after="40" w:line="276" w:lineRule="auto"/>
      </w:pPr>
      <w:r>
        <w:rPr>
          <w:rFonts w:ascii="Times New Roman" w:hAnsi="Times New Roman" w:eastAsia="Times New Roman"/>
          <w:b w:val="0"/>
          <w:i w:val="0"/>
          <w:sz w:val="25"/>
        </w:rPr>
        <w:t>- Số điện thoại/Email: ........................................................................................................................</w:t>
      </w:r>
    </w:p>
    <w:p>
      <w:pPr>
        <w:spacing w:after="40" w:line="276" w:lineRule="auto"/>
      </w:pPr>
      <w:r>
        <w:rPr>
          <w:rFonts w:ascii="Times New Roman" w:hAnsi="Times New Roman" w:eastAsia="Times New Roman"/>
          <w:b w:val="0"/>
          <w:i w:val="0"/>
          <w:sz w:val="25"/>
        </w:rPr>
        <w:t>- Tài khoản nhận tiền: ........................................................................................................................</w:t>
      </w:r>
    </w:p>
    <w:p>
      <w:pPr>
        <w:spacing w:before="160" w:after="80"/>
      </w:pPr>
      <w:r>
        <w:rPr>
          <w:rFonts w:ascii="Times New Roman" w:hAnsi="Times New Roman" w:eastAsia="Times New Roman"/>
          <w:b/>
          <w:i w:val="0"/>
          <w:sz w:val="26"/>
        </w:rPr>
        <w:t>Điều 1. Đối tượng hợp đồng</w:t>
      </w:r>
    </w:p>
    <w:p>
      <w:pPr>
        <w:spacing w:after="80" w:line="276" w:lineRule="auto"/>
        <w:ind w:firstLine="567"/>
        <w:jc w:val="both"/>
      </w:pPr>
      <w:r>
        <w:rPr>
          <w:rFonts w:ascii="Times New Roman" w:hAnsi="Times New Roman" w:eastAsia="Times New Roman"/>
          <w:b w:val="0"/>
          <w:i w:val="0"/>
          <w:sz w:val="25"/>
        </w:rPr>
        <w:t>Bên A cung cấp nền tảng SportGo để Bên B đăng tải thông tin cụm sân, tiếp nhận booking, quản lý lịch sân, thanh toán, hoàn/hủy, đối soát doanh thu và các nghiệp vụ vận hành liên quan. Bên B tham gia nền tảng với tư cách đối tác/chủ sân và chịu trách nhiệm vận hành sân đúng thông tin đã đăng ký.</w:t>
      </w:r>
    </w:p>
    <w:p>
      <w:pPr>
        <w:spacing w:before="160" w:after="80"/>
      </w:pPr>
      <w:r>
        <w:rPr>
          <w:rFonts w:ascii="Times New Roman" w:hAnsi="Times New Roman" w:eastAsia="Times New Roman"/>
          <w:b/>
          <w:i w:val="0"/>
          <w:sz w:val="26"/>
        </w:rPr>
        <w:t>Điều 2. Thông tin cụm sân tham gia nền tảng</w:t>
      </w:r>
    </w:p>
    <w:p>
      <w:pPr>
        <w:spacing w:after="80" w:line="276" w:lineRule="auto"/>
        <w:ind w:firstLine="567"/>
        <w:jc w:val="both"/>
      </w:pPr>
      <w:r>
        <w:rPr>
          <w:rFonts w:ascii="Times New Roman" w:hAnsi="Times New Roman" w:eastAsia="Times New Roman"/>
          <w:b w:val="0"/>
          <w:i w:val="0"/>
          <w:sz w:val="25"/>
        </w:rPr>
        <w:t>Cụm sân được đưa lên SportGo là cụm sân đã được Bên A thẩm định theo hồ sơ đăng ký của Bên B. Thông tin cơ bản gồm tên cụm sân, địa chỉ, loại sân, số lượng sân con, tiện ích, hình ảnh minh chứng và các tài liệu liên quan được lưu trong hồ sơ đối tác.</w:t>
      </w:r>
    </w:p>
    <w:p>
      <w:pPr>
        <w:spacing w:after="80" w:line="276" w:lineRule="auto"/>
        <w:ind w:firstLine="567"/>
        <w:jc w:val="both"/>
      </w:pPr>
      <w:r>
        <w:rPr>
          <w:rFonts w:ascii="Times New Roman" w:hAnsi="Times New Roman" w:eastAsia="Times New Roman"/>
          <w:b w:val="0"/>
          <w:i w:val="0"/>
          <w:sz w:val="25"/>
        </w:rPr>
        <w:t>Bên B không tự ý thay đổi các thông tin pháp lý, địa chỉ, quyền sở hữu/quyền khai thác mặt bằng hoặc các thông tin trọng yếu khác nếu chưa được SportGo kiểm tra và cập nhật theo quy trình.</w:t>
      </w:r>
    </w:p>
    <w:p>
      <w:pPr>
        <w:spacing w:before="160" w:after="80"/>
      </w:pPr>
      <w:r>
        <w:rPr>
          <w:rFonts w:ascii="Times New Roman" w:hAnsi="Times New Roman" w:eastAsia="Times New Roman"/>
          <w:b/>
          <w:i w:val="0"/>
          <w:sz w:val="26"/>
        </w:rPr>
        <w:t>Điều 3. Quyền và nghĩa vụ của Bên A</w:t>
      </w:r>
    </w:p>
    <w:p>
      <w:pPr>
        <w:spacing w:after="40"/>
        <w:ind w:left="340" w:hanging="227"/>
      </w:pPr>
      <w:r>
        <w:rPr>
          <w:rFonts w:ascii="Times New Roman" w:hAnsi="Times New Roman" w:eastAsia="Times New Roman"/>
          <w:b w:val="0"/>
          <w:i w:val="0"/>
          <w:sz w:val="25"/>
        </w:rPr>
        <w:t>• Cung cấp tài khoản, công cụ quản lý cụm sân, sân con, giá, booking, doanh thu và thông báo cho Bên B sau khi hợp đồng có hiệu lực.</w:t>
      </w:r>
    </w:p>
    <w:p>
      <w:pPr>
        <w:spacing w:after="40"/>
        <w:ind w:left="340" w:hanging="227"/>
      </w:pPr>
      <w:r>
        <w:rPr>
          <w:rFonts w:ascii="Times New Roman" w:hAnsi="Times New Roman" w:eastAsia="Times New Roman"/>
          <w:b w:val="0"/>
          <w:i w:val="0"/>
          <w:sz w:val="25"/>
        </w:rPr>
        <w:t>• Kiểm tra hồ sơ, xác nhận hợp đồng điện tử, lưu trữ hợp đồng và các biên bản/công văn phát sinh trong hồ sơ đối tác.</w:t>
      </w:r>
    </w:p>
    <w:p>
      <w:pPr>
        <w:spacing w:after="40"/>
        <w:ind w:left="340" w:hanging="227"/>
      </w:pPr>
      <w:r>
        <w:rPr>
          <w:rFonts w:ascii="Times New Roman" w:hAnsi="Times New Roman" w:eastAsia="Times New Roman"/>
          <w:b w:val="0"/>
          <w:i w:val="0"/>
          <w:sz w:val="25"/>
        </w:rPr>
        <w:t>• Thu hộ, đối soát, xử lý rút tiền, hoàn tiền và phí nền tảng theo quy trình đã công bố.</w:t>
      </w:r>
    </w:p>
    <w:p>
      <w:pPr>
        <w:spacing w:after="40"/>
        <w:ind w:left="340" w:hanging="227"/>
      </w:pPr>
      <w:r>
        <w:rPr>
          <w:rFonts w:ascii="Times New Roman" w:hAnsi="Times New Roman" w:eastAsia="Times New Roman"/>
          <w:b w:val="0"/>
          <w:i w:val="0"/>
          <w:sz w:val="25"/>
        </w:rPr>
        <w:t>• Có quyền tạm khóa hoặc chấm dứt hợp tác khi Bên B vi phạm hợp đồng, chính sách hệ thống, nghĩa vụ phí hoặc có hành vi ảnh hưởng tới người dùng/nền tảng.</w:t>
      </w:r>
    </w:p>
    <w:p>
      <w:pPr>
        <w:spacing w:before="160" w:after="80"/>
      </w:pPr>
      <w:r>
        <w:rPr>
          <w:rFonts w:ascii="Times New Roman" w:hAnsi="Times New Roman" w:eastAsia="Times New Roman"/>
          <w:b/>
          <w:i w:val="0"/>
          <w:sz w:val="26"/>
        </w:rPr>
        <w:t>Điều 4. Quyền và nghĩa vụ của Bên B</w:t>
      </w:r>
    </w:p>
    <w:p>
      <w:pPr>
        <w:spacing w:after="40"/>
        <w:ind w:left="340" w:hanging="227"/>
      </w:pPr>
      <w:r>
        <w:rPr>
          <w:rFonts w:ascii="Times New Roman" w:hAnsi="Times New Roman" w:eastAsia="Times New Roman"/>
          <w:b w:val="0"/>
          <w:i w:val="0"/>
          <w:sz w:val="25"/>
        </w:rPr>
        <w:t>• Cung cấp thông tin, hình ảnh, giấy tờ và hồ sơ chính xác, hợp pháp; chịu trách nhiệm về hoạt động thực tế của cụm sân.</w:t>
      </w:r>
    </w:p>
    <w:p>
      <w:pPr>
        <w:spacing w:after="40"/>
        <w:ind w:left="340" w:hanging="227"/>
      </w:pPr>
      <w:r>
        <w:rPr>
          <w:rFonts w:ascii="Times New Roman" w:hAnsi="Times New Roman" w:eastAsia="Times New Roman"/>
          <w:b w:val="0"/>
          <w:i w:val="0"/>
          <w:sz w:val="25"/>
        </w:rPr>
        <w:t>• Cập nhật lịch sân, bảng giá, tình trạng sân, chính sách sân và phản hồi booking/khiếu nại đúng thời hạn.</w:t>
      </w:r>
    </w:p>
    <w:p>
      <w:pPr>
        <w:spacing w:after="40"/>
        <w:ind w:left="340" w:hanging="227"/>
      </w:pPr>
      <w:r>
        <w:rPr>
          <w:rFonts w:ascii="Times New Roman" w:hAnsi="Times New Roman" w:eastAsia="Times New Roman"/>
          <w:b w:val="0"/>
          <w:i w:val="0"/>
          <w:sz w:val="25"/>
        </w:rPr>
        <w:t>• Thực hiện đầy đủ nghĩa vụ phí nền tảng, chính sách thanh toán, chính sách hủy/hoàn và các quy định vận hành của SportGo.</w:t>
      </w:r>
    </w:p>
    <w:p>
      <w:pPr>
        <w:spacing w:after="40"/>
        <w:ind w:left="340" w:hanging="227"/>
      </w:pPr>
      <w:r>
        <w:rPr>
          <w:rFonts w:ascii="Times New Roman" w:hAnsi="Times New Roman" w:eastAsia="Times New Roman"/>
          <w:b w:val="0"/>
          <w:i w:val="0"/>
          <w:sz w:val="25"/>
        </w:rPr>
        <w:t>• Không sử dụng nền tảng để đăng thông tin sai lệch, thu tiền ngoài quy định, từ chối booking không có lý do hợp lệ hoặc gây ảnh hưởng tới quyền lợi của người dùng.</w:t>
      </w:r>
    </w:p>
    <w:p>
      <w:pPr>
        <w:spacing w:before="160" w:after="80"/>
      </w:pPr>
      <w:r>
        <w:rPr>
          <w:rFonts w:ascii="Times New Roman" w:hAnsi="Times New Roman" w:eastAsia="Times New Roman"/>
          <w:b/>
          <w:i w:val="0"/>
          <w:sz w:val="26"/>
        </w:rPr>
        <w:t>Điều 5. Phí nền tảng và thanh toán</w:t>
      </w:r>
    </w:p>
    <w:p>
      <w:pPr>
        <w:spacing w:after="80" w:line="276" w:lineRule="auto"/>
        <w:ind w:firstLine="567"/>
        <w:jc w:val="both"/>
      </w:pPr>
      <w:r>
        <w:rPr>
          <w:rFonts w:ascii="Times New Roman" w:hAnsi="Times New Roman" w:eastAsia="Times New Roman"/>
          <w:b w:val="0"/>
          <w:i w:val="0"/>
          <w:sz w:val="25"/>
        </w:rPr>
        <w:t>Bên B thanh toán phí duy trì nền tảng theo bậc phí/kỳ phí do SportGo công bố hoặc theo thỏa thuận riêng giữa hai bên. Nếu quá hạn phí, SportGo có quyền tạm khóa cụm sân hoặc hạn chế chức năng cho đến khi nghĩa vụ phí được xử lý.</w:t>
      </w:r>
    </w:p>
    <w:p>
      <w:pPr>
        <w:spacing w:after="80" w:line="276" w:lineRule="auto"/>
        <w:ind w:firstLine="567"/>
        <w:jc w:val="both"/>
      </w:pPr>
      <w:r>
        <w:rPr>
          <w:rFonts w:ascii="Times New Roman" w:hAnsi="Times New Roman" w:eastAsia="Times New Roman"/>
          <w:b w:val="0"/>
          <w:i w:val="0"/>
          <w:sz w:val="25"/>
        </w:rPr>
        <w:t>Đối với doanh thu booking online, SportGo thực hiện thu hộ và ghi nhận vào ví chủ sân/đối soát theo hệ thống. Doanh thu thanh toán trực tiếp tại sân được ghi nhận riêng theo luồng vận hành, không mặc định là số dư có thể rút từ ví thu hộ.</w:t>
      </w:r>
    </w:p>
    <w:p>
      <w:pPr>
        <w:spacing w:before="160" w:after="80"/>
      </w:pPr>
      <w:r>
        <w:rPr>
          <w:rFonts w:ascii="Times New Roman" w:hAnsi="Times New Roman" w:eastAsia="Times New Roman"/>
          <w:b/>
          <w:i w:val="0"/>
          <w:sz w:val="26"/>
        </w:rPr>
        <w:t>Điều 6. Booking, hoàn/hủy và rút tiền</w:t>
      </w:r>
    </w:p>
    <w:p>
      <w:pPr>
        <w:spacing w:after="80" w:line="276" w:lineRule="auto"/>
        <w:ind w:firstLine="567"/>
        <w:jc w:val="both"/>
      </w:pPr>
      <w:r>
        <w:rPr>
          <w:rFonts w:ascii="Times New Roman" w:hAnsi="Times New Roman" w:eastAsia="Times New Roman"/>
          <w:b w:val="0"/>
          <w:i w:val="0"/>
          <w:sz w:val="25"/>
        </w:rPr>
        <w:t>Bên B chịu trách nhiệm xác nhận, vận hành và xử lý booking thuộc cụm sân của mình. Các yêu cầu hủy/hoàn tiền liên quan booking của sân phải được xử lý theo chính sách hệ thống và chính sách sân đã được phép áp dụng.</w:t>
      </w:r>
    </w:p>
    <w:p>
      <w:pPr>
        <w:spacing w:after="80" w:line="276" w:lineRule="auto"/>
        <w:ind w:firstLine="567"/>
        <w:jc w:val="both"/>
      </w:pPr>
      <w:r>
        <w:rPr>
          <w:rFonts w:ascii="Times New Roman" w:hAnsi="Times New Roman" w:eastAsia="Times New Roman"/>
          <w:b w:val="0"/>
          <w:i w:val="0"/>
          <w:sz w:val="25"/>
        </w:rPr>
        <w:t>Trường hợp người dùng yêu cầu hoàn tiền, Bên B thực hiện bước xác nhận nghiệp vụ sân trước; SportGo thực hiện bước xử lý tài chính/xác nhận hoàn tất nếu yêu cầu đủ điều kiện. Bên B tạo yêu cầu rút tiền từ số dư được phép rút theo quy trình đối soát của SportGo.</w:t>
      </w:r>
    </w:p>
    <w:p>
      <w:pPr>
        <w:spacing w:before="160" w:after="80"/>
      </w:pPr>
      <w:r>
        <w:rPr>
          <w:rFonts w:ascii="Times New Roman" w:hAnsi="Times New Roman" w:eastAsia="Times New Roman"/>
          <w:b/>
          <w:i w:val="0"/>
          <w:sz w:val="26"/>
        </w:rPr>
        <w:t>Điều 7. Chính sách sân và chính sách hệ thống</w:t>
      </w:r>
    </w:p>
    <w:p>
      <w:pPr>
        <w:spacing w:after="80" w:line="276" w:lineRule="auto"/>
        <w:ind w:firstLine="567"/>
        <w:jc w:val="both"/>
      </w:pPr>
      <w:r>
        <w:rPr>
          <w:rFonts w:ascii="Times New Roman" w:hAnsi="Times New Roman" w:eastAsia="Times New Roman"/>
          <w:b w:val="0"/>
          <w:i w:val="0"/>
          <w:sz w:val="25"/>
        </w:rPr>
        <w:t>Chính sách hệ thống của SportGo là khung áp dụng bắt buộc đối với các bên. Bên B chỉ được cấu hình chính sách riêng của sân trong phạm vi SportGo cho phép. Chính sách sân không được trái với chính sách hệ thống và không được làm giảm mức bảo vệ tối thiểu dành cho người dùng hoặc làm sai quy trình tài chính, hoàn/hủy, khiếu nại của nền tảng.</w:t>
      </w:r>
    </w:p>
    <w:p>
      <w:pPr>
        <w:spacing w:before="160" w:after="80"/>
      </w:pPr>
      <w:r>
        <w:rPr>
          <w:rFonts w:ascii="Times New Roman" w:hAnsi="Times New Roman" w:eastAsia="Times New Roman"/>
          <w:b/>
          <w:i w:val="0"/>
          <w:sz w:val="26"/>
        </w:rPr>
        <w:t>Điều 8. Thời hạn hợp đồng</w:t>
      </w:r>
    </w:p>
    <w:p>
      <w:pPr>
        <w:spacing w:after="80" w:line="276" w:lineRule="auto"/>
        <w:ind w:firstLine="567"/>
        <w:jc w:val="both"/>
      </w:pPr>
      <w:r>
        <w:rPr>
          <w:rFonts w:ascii="Times New Roman" w:hAnsi="Times New Roman" w:eastAsia="Times New Roman"/>
          <w:b w:val="0"/>
          <w:i w:val="0"/>
          <w:sz w:val="25"/>
        </w:rPr>
        <w:t>Hợp đồng có hiệu lực kể từ thời điểm các bên ký xác nhận đầy đủ. Trước khi hoàn tất chữ ký của các bên, hợp đồng ở trạng thái chờ ký và chưa làm phát sinh đầy đủ quyền chủ sân trên hệ thống.</w:t>
      </w:r>
    </w:p>
    <w:p>
      <w:pPr>
        <w:spacing w:before="160" w:after="80"/>
      </w:pPr>
      <w:r>
        <w:rPr>
          <w:rFonts w:ascii="Times New Roman" w:hAnsi="Times New Roman" w:eastAsia="Times New Roman"/>
          <w:b/>
          <w:i w:val="0"/>
          <w:sz w:val="26"/>
        </w:rPr>
        <w:t>Điều 9. Tạm khóa và chấm dứt hợp đồng</w:t>
      </w:r>
    </w:p>
    <w:p>
      <w:pPr>
        <w:spacing w:after="80" w:line="276" w:lineRule="auto"/>
        <w:ind w:firstLine="567"/>
        <w:jc w:val="both"/>
      </w:pPr>
      <w:r>
        <w:rPr>
          <w:rFonts w:ascii="Times New Roman" w:hAnsi="Times New Roman" w:eastAsia="Times New Roman"/>
          <w:b w:val="0"/>
          <w:i w:val="0"/>
          <w:sz w:val="25"/>
        </w:rPr>
        <w:t>Hợp đồng có thể chấm dứt theo thỏa thuận của hai bên hoặc theo hình thức đơn phương chấm dứt trong các trường hợp được hợp đồng/chính sách quy định. Khi chấm dứt, hai bên thực hiện đối soát booking, phí nền tảng, ví chủ sân, các khoản phải thu/phải trả và lập biên bản/công văn tương ứng.</w:t>
      </w:r>
    </w:p>
    <w:p>
      <w:pPr>
        <w:spacing w:after="80" w:line="276" w:lineRule="auto"/>
        <w:ind w:firstLine="567"/>
        <w:jc w:val="both"/>
      </w:pPr>
      <w:r>
        <w:rPr>
          <w:rFonts w:ascii="Times New Roman" w:hAnsi="Times New Roman" w:eastAsia="Times New Roman"/>
          <w:b w:val="0"/>
          <w:i w:val="0"/>
          <w:sz w:val="25"/>
        </w:rPr>
        <w:t>Sau khi yêu cầu chấm dứt được phê duyệt, SportGo có thể áp dụng thời gian chuyển tiếp để xử lý booking còn lại, quyết toán và thu hồi quyền chủ sân theo quy trình đã thông báo.</w:t>
      </w:r>
    </w:p>
    <w:p>
      <w:pPr>
        <w:spacing w:before="160" w:after="80"/>
      </w:pPr>
      <w:r>
        <w:rPr>
          <w:rFonts w:ascii="Times New Roman" w:hAnsi="Times New Roman" w:eastAsia="Times New Roman"/>
          <w:b/>
          <w:i w:val="0"/>
          <w:sz w:val="26"/>
        </w:rPr>
        <w:t>Điều 10. Giải quyết tranh chấp</w:t>
      </w:r>
    </w:p>
    <w:p>
      <w:pPr>
        <w:spacing w:after="80" w:line="276" w:lineRule="auto"/>
        <w:ind w:firstLine="567"/>
        <w:jc w:val="both"/>
      </w:pPr>
      <w:r>
        <w:rPr>
          <w:rFonts w:ascii="Times New Roman" w:hAnsi="Times New Roman" w:eastAsia="Times New Roman"/>
          <w:b w:val="0"/>
          <w:i w:val="0"/>
          <w:sz w:val="25"/>
        </w:rPr>
        <w:t>Mọi tranh chấp phát sinh được ưu tiên giải quyết thông qua thương lượng, đối chiếu hồ sơ, dữ liệu booking, thanh toán, audit log và các tài liệu đã ký. Trường hợp không đạt được thỏa thuận, các bên thực hiện theo quy định pháp luật có liên quan.</w:t>
      </w:r>
    </w:p>
    <w:p>
      <w:pPr>
        <w:spacing w:before="160" w:after="80"/>
      </w:pPr>
      <w:r>
        <w:rPr>
          <w:rFonts w:ascii="Times New Roman" w:hAnsi="Times New Roman" w:eastAsia="Times New Roman"/>
          <w:b/>
          <w:i w:val="0"/>
          <w:sz w:val="26"/>
        </w:rPr>
        <w:t>Điều 11. Hiệu lực hợp đồng</w:t>
      </w:r>
    </w:p>
    <w:p>
      <w:pPr>
        <w:spacing w:after="80" w:line="276" w:lineRule="auto"/>
        <w:ind w:firstLine="567"/>
        <w:jc w:val="both"/>
      </w:pPr>
      <w:r>
        <w:rPr>
          <w:rFonts w:ascii="Times New Roman" w:hAnsi="Times New Roman" w:eastAsia="Times New Roman"/>
          <w:b w:val="0"/>
          <w:i w:val="0"/>
          <w:sz w:val="25"/>
        </w:rPr>
        <w:t>Hợp đồng được lập dưới dạng văn bản điện tử hoặc văn bản giấy tùy theo quy trình áp dụng của SportGo. Bản hợp đồng sau khi có đầy đủ chữ ký/xác nhận của các bên được lưu tại hồ sơ đối tác và có giá trị làm căn cứ vận hành, đối soát và xử lý tranh chấp.</w:t>
      </w:r>
    </w:p>
    <w:p>
      <w:pPr>
        <w:spacing w:after="80" w:line="276" w:lineRule="auto"/>
        <w:ind w:firstLine="567"/>
        <w:jc w:val="both"/>
      </w:pPr>
      <w:r>
        <w:rPr>
          <w:rFonts w:ascii="Times New Roman" w:hAnsi="Times New Roman" w:eastAsia="Times New Roman"/>
          <w:b w:val="0"/>
          <w:i w:val="0"/>
          <w:sz w:val="25"/>
        </w:rPr>
        <w:t>Các bên đã đọc, hiểu rõ quyền và nghĩa vụ của mình và thống nhất ký xác nhận hợp đồng này.</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677"/>
        <w:gridCol w:w="4677"/>
      </w:tblGrid>
      <w:tr>
        <w:tc>
          <w:tcPr>
            <w:tcW w:type="dxa" w:w="4677"/>
            <w:vAlign w:val="top"/>
          </w:tcPr>
          <w:p>
            <w:pPr>
              <w:jc w:val="center"/>
            </w:pPr>
            <w:r/>
            <w:r>
              <w:rPr>
                <w:rFonts w:ascii="Times New Roman" w:hAnsi="Times New Roman" w:eastAsia="Times New Roman"/>
                <w:b/>
                <w:sz w:val="24"/>
              </w:rPr>
              <w:t>ĐẠI DIỆN BÊN A</w:t>
              <w:br/>
              <w:t>SPORTGO</w:t>
              <w:br/>
              <w:br/>
              <w:br/>
              <w:br/>
              <w:br/>
              <w:t>(Ký, ghi rõ họ tên)</w:t>
            </w:r>
          </w:p>
        </w:tc>
        <w:tc>
          <w:tcPr>
            <w:tcW w:type="dxa" w:w="4677"/>
            <w:vAlign w:val="top"/>
          </w:tcPr>
          <w:p>
            <w:pPr>
              <w:jc w:val="center"/>
            </w:pPr>
            <w:r/>
            <w:r>
              <w:rPr>
                <w:rFonts w:ascii="Times New Roman" w:hAnsi="Times New Roman" w:eastAsia="Times New Roman"/>
                <w:b/>
                <w:sz w:val="24"/>
              </w:rPr>
              <w:t>ĐẠI DIỆN BÊN B</w:t>
              <w:br/>
              <w:t>ĐỐI TÁC/CHỦ SÂN</w:t>
              <w:br/>
              <w:br/>
              <w:br/>
              <w:br/>
              <w:br/>
              <w:t>(Ký, ghi rõ họ tên)</w:t>
            </w:r>
          </w:p>
        </w:tc>
      </w:tr>
    </w:tbl>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