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THAY ĐỔI CHÍNH VỀ HỌC VỤ TỪ HK 222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Tháng 11 Năm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THÀNH PHỐ HỒ CHÍ MINH TRƯỜNG ĐẠI HỌC BÁCH KHOA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ngữ</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Tiếng Anh: •Chứng nhận VNU-EPT và Chứng chỉ VSTEP quốc gia (Vietnamese Standardized Test of English Proficiency) : •Xét miễn môn Anh Văn 1,2,3,4 (cho SV khoá 2020 về trước hoặc SV từ khoá 2021 về sau, áp dụng trong năm học đầu tiên). 2- Tiếng Pháp: Bảng quy đổi tương đương Chứng chỉ tiếng Pháp TCF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Khung năng lực ngoại ngữ Việt Nam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Pháp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Bậc 3 (CEFR B1) Bậc 4 (CEFR B2)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 B1 TCFB1 DELF B2 TCFB2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Ràng buộc thành phần điểm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Trích “Quy định về học vụ và đào tạo bậc đại học – Phiên bản hợp nhất/ Khoản 18.1 Điều 18</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Ràng buộc điểm thành phần và điểm tổng kết”: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có thí nghiệm, sinh viên sẽ bị cấm thi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có điểm nhỏ hơn 4,0 (thang điểm 10). •Ràng buộc thêm (mới): điểm thi và các cột điểm thành phần: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các thành phần phải có điểm &gt; 0. - Sẽ cấm thi khi có bất kỳ thành phần điểm nào = 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Hoãn thi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Môn học không có ngày thi cụ thể (kể cả LVTN), Khoa/Bộ Môn chủ động tổ chức đánh giá, không hoãn thi. • SV đăng ký tại Khoa và do Khoa quyết định. 2- Các Môn học có ngày thi cụ thể, vận dụng quy định thi sớm hoặc muộn, trường hợp không vận dụng được mới hoãn thi và thi vào các học Kỳ sau (xóa điểm hoãn thi trong 1 năm). •SV chủ động đăng ký tại Khoa/Bộ Môn để được hỗ trợ thi sớm hoặc muộn trong cùng học kỳ. PĐT hỗ trợ xếp lịch thi (nếu cần). •Trường hợp Khoa không tổ chức được, SV làm đơn hoãn thi theo mẫu (tải mẫu tại trang hcmut.edu.vn) kèm minh chứng nộp về PĐT.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Miễn điểm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Miễn điểm và học: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đã học và có điểm không đạt: khi được xét miễn sẽ tính điểm miễn, không tính điểm đã học. Tại thời điểm xét miễn: chỉ xét các môn chưa học hoặc học mà chưa đạt. •SV đã được miễn, đăng ký học và có điểm đạt mới: tính điểm trung bình theo điểm học. •SV đã được miễn, đăng ký học và có điểm không đạt: tính điểm miễn. •Chỉ cho phép miễn các học phần tốt nghiệp khi chuyển từ chính quy sang hình thức vừa làm vừa học đúng ngành. 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tương đương/thay thế</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Trích “Quy định về học vụ và đào tạo bậc đại học – Phiên bản hợp nhất/ khoản 19.1 Điều 19 Điểm học phần tương đương, thay thế”</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đạt các học phần khác tương đương, thay thế cho các học phần gốc trong chương trình đào tạo, sinh viên sẽ nhận điểm miễn các học phần gốc, tính tích luỹ tín chỉ, không tính vào điểm trung bình tích luỹ ngành.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mới: - Sinh viên học đạt các học phần khác tương đương, thay thế cho các học phần gốc trong chương trình đào tạo, sẽ được tính tích lũy tín chỉ và điểm trung bình tích lũy theo số tín chỉ của môn học tương đương, thay thế. 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tự chọn tự 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“Trích từ Quy định về cấu trúc và quy trình xây dựng, thẩm định hiệu chỉnh chương trình đào tạo điều 2 mục 6” được quy định cụ thể như sau: Là tín chỉ của các học phần người học được tự do đăng ký, không bị ràng </w:t>
      </w:r>
      <w:r w:rsidDel="00000000" w:rsidR="00000000" w:rsidRPr="00000000">
        <w:rPr>
          <w:rtl w:val="0"/>
        </w:rPr>
        <w:t xml:space="preserve">buộc được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xem xét khi tích luỹ các học phần có kiến thức không trùng </w:t>
      </w:r>
      <w:r w:rsidDel="00000000" w:rsidR="00000000" w:rsidRPr="00000000">
        <w:rPr>
          <w:rtl w:val="0"/>
        </w:rPr>
        <w:t xml:space="preserve">lặp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với các kiến thức dùng để xét tốt nghiệp của chương trình đào tạo và không phải là các học phần thuộc khối kiến thức tốt nghiệp của một ngành khác. Hai học phần được xem là trùng lắp nếu có chuẩn đầu ra/nội dung trùng </w:t>
      </w:r>
      <w:r w:rsidDel="00000000" w:rsidR="00000000" w:rsidRPr="00000000">
        <w:rPr>
          <w:rtl w:val="0"/>
        </w:rPr>
        <w:t xml:space="preserve">lặp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đến 50%. Một cách cụ thể:</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cơ sở ngành, ngành, chuyên ngành và các môn khởi nghiệp (ngoại trừ khối kiến thức tốt nghiệp). •Các môn cao học/Kỹ sư dùng miễn bậc Đại học. •Loại trừ các môn trùng lắp (như trên).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GVCN và Cố vấn học tập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tác Cố vấn học tập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phân công nhân sự nắm vững ngành/nghề, quy định học vụ, chương trình đào tạo… làm Cố vấn học tập hoặc cử Giáo viên chủ nhiệm kiêm nhiệm. •SV diện cảnh báo học vụ phải tham vấn Cố vấn học tập trước và sau khi đăng ký môn học •Gặp tham vấn trước kỳ đăng ký môn học. •Gặp trong quá trình đăng ký môn học. •Bản đăng ký môn học cuối cùng phải được sự đồng ý của Cố vấn học tập.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S2zKnyMe0XTSL9wH0zSKVSirGw==">CgMxLjA4AHIhMTJ0OGhmdW84Q3gtdXFOblJ2WXZ0TUxQNlZXdTVfdks3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