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71FF" w14:textId="6C951ECF" w:rsidR="00AC0212" w:rsidRPr="00175A42" w:rsidRDefault="00175A42" w:rsidP="00166521">
      <w:pPr>
        <w:pStyle w:val="Heading1"/>
        <w:jc w:val="both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Page </w:t>
      </w:r>
      <w:r w:rsidR="00000000" w:rsidRPr="00175A42">
        <w:rPr>
          <w:rFonts w:cstheme="majorHAnsi"/>
          <w:color w:val="000000" w:themeColor="text1"/>
        </w:rPr>
        <w:t>Home</w:t>
      </w:r>
    </w:p>
    <w:p w14:paraId="6C152B8F" w14:textId="77777777" w:rsidR="00AC0212" w:rsidRPr="00166521" w:rsidRDefault="00000000" w:rsidP="00166521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166521">
        <w:rPr>
          <w:rFonts w:cstheme="majorHAnsi"/>
          <w:color w:val="000000" w:themeColor="text1"/>
          <w:sz w:val="24"/>
          <w:szCs w:val="24"/>
        </w:rPr>
        <w:t>Purpose</w:t>
      </w:r>
    </w:p>
    <w:p w14:paraId="03350AC2" w14:textId="77777777" w:rsidR="00AC0212" w:rsidRPr="00166521" w:rsidRDefault="00000000" w:rsidP="00166521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Introduce China’s dramatic evolution from 2000–2020 and guide users into thematic chapters. The landing page functions as a high-level narrative gateway, highlighting structural transformation across economy, society, environment, and technology.</w:t>
      </w:r>
    </w:p>
    <w:p w14:paraId="24EA670E" w14:textId="77777777" w:rsidR="00AC0212" w:rsidRPr="00166521" w:rsidRDefault="00000000" w:rsidP="00166521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166521">
        <w:rPr>
          <w:rFonts w:cstheme="majorHAnsi"/>
          <w:color w:val="000000" w:themeColor="text1"/>
          <w:sz w:val="24"/>
          <w:szCs w:val="24"/>
        </w:rPr>
        <w:t>Narrative Arc</w:t>
      </w:r>
    </w:p>
    <w:p w14:paraId="4F804EDE" w14:textId="77777777" w:rsidR="00AC0212" w:rsidRPr="00166521" w:rsidRDefault="00000000" w:rsidP="00166521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In two decades, China underwent one of the fastest development shifts in modern history:</w:t>
      </w:r>
    </w:p>
    <w:p w14:paraId="085E6FC5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Explosive industrial expansion and urban migration</w:t>
      </w:r>
    </w:p>
    <w:p w14:paraId="29F2993B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Rising environmental stress and policy response</w:t>
      </w:r>
    </w:p>
    <w:p w14:paraId="5AED3CE8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Transition toward green energy and digital innovation</w:t>
      </w:r>
    </w:p>
    <w:p w14:paraId="5A466D44" w14:textId="77777777" w:rsidR="00AC0212" w:rsidRPr="00166521" w:rsidRDefault="00000000" w:rsidP="00166521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This page sets the stage for understanding how and why these shifts happened — and what they imply for China’s future growth model.</w:t>
      </w:r>
    </w:p>
    <w:p w14:paraId="5ADAB380" w14:textId="77777777" w:rsidR="00AC0212" w:rsidRPr="00166521" w:rsidRDefault="00000000" w:rsidP="00166521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166521">
        <w:rPr>
          <w:rFonts w:cstheme="majorHAnsi"/>
          <w:color w:val="000000" w:themeColor="text1"/>
          <w:sz w:val="24"/>
          <w:szCs w:val="24"/>
        </w:rPr>
        <w:t>Core Components</w:t>
      </w:r>
    </w:p>
    <w:p w14:paraId="132521A0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Hero Section: Clear title and subheading to define scope and tone.</w:t>
      </w:r>
    </w:p>
    <w:p w14:paraId="1287AEBA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Milestone Timeline: Key turning points: WTO entry (2001), rapid industrialization, pollution control campaigns, tech acceleration.</w:t>
      </w:r>
    </w:p>
    <w:p w14:paraId="7A46C080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Headline Indicators (2000 → 2020): GDP, urban population share, renewable electricity share, internet usage — representing economy, society, sustainability, and technology.</w:t>
      </w:r>
    </w:p>
    <w:p w14:paraId="0753F1C7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Mini Dual</w:t>
      </w:r>
      <w:r w:rsidRPr="00166521">
        <w:rPr>
          <w:rFonts w:ascii="Cambria Math" w:hAnsi="Cambria Math" w:cs="Cambria Math"/>
          <w:color w:val="000000" w:themeColor="text1"/>
          <w:sz w:val="24"/>
          <w:szCs w:val="24"/>
        </w:rPr>
        <w:t>‑</w:t>
      </w: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Axis Chart: GDP (area) vs Urbanization rate (line) to demonstrate scale + structural transition.</w:t>
      </w:r>
    </w:p>
    <w:p w14:paraId="3A6F1BC3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Chapter Navigation: Direct links to Economy, Urbanization, Environment, Innovation.</w:t>
      </w:r>
    </w:p>
    <w:p w14:paraId="5388D1B8" w14:textId="77777777" w:rsidR="00AC0212" w:rsidRPr="00166521" w:rsidRDefault="00000000" w:rsidP="00166521">
      <w:pPr>
        <w:pStyle w:val="Heading2"/>
        <w:jc w:val="both"/>
        <w:rPr>
          <w:rFonts w:cstheme="majorHAnsi"/>
          <w:color w:val="000000" w:themeColor="text1"/>
          <w:sz w:val="24"/>
          <w:szCs w:val="24"/>
        </w:rPr>
      </w:pPr>
      <w:r w:rsidRPr="00166521">
        <w:rPr>
          <w:rFonts w:cstheme="majorHAnsi"/>
          <w:color w:val="000000" w:themeColor="text1"/>
          <w:sz w:val="24"/>
          <w:szCs w:val="24"/>
        </w:rPr>
        <w:t>Design Notes</w:t>
      </w:r>
    </w:p>
    <w:p w14:paraId="42E25D6E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Clean, minimal visual hierarchy</w:t>
      </w:r>
    </w:p>
    <w:p w14:paraId="012719C9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Consistent spacing and typography</w:t>
      </w:r>
    </w:p>
    <w:p w14:paraId="5414D8CF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Balanced data + storytelling focus</w:t>
      </w:r>
    </w:p>
    <w:p w14:paraId="3ECE5E28" w14:textId="77777777" w:rsidR="00AC0212" w:rsidRPr="00166521" w:rsidRDefault="00000000" w:rsidP="00166521">
      <w:pPr>
        <w:pStyle w:val="ListBullet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66521">
        <w:rPr>
          <w:rFonts w:asciiTheme="majorHAnsi" w:hAnsiTheme="majorHAnsi" w:cstheme="majorHAnsi"/>
          <w:color w:val="000000" w:themeColor="text1"/>
          <w:sz w:val="24"/>
          <w:szCs w:val="24"/>
        </w:rPr>
        <w:t>Responsive and legible layout for all devices</w:t>
      </w:r>
    </w:p>
    <w:sectPr w:rsidR="00AC0212" w:rsidRPr="00166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913232">
    <w:abstractNumId w:val="8"/>
  </w:num>
  <w:num w:numId="2" w16cid:durableId="1800030957">
    <w:abstractNumId w:val="6"/>
  </w:num>
  <w:num w:numId="3" w16cid:durableId="255596634">
    <w:abstractNumId w:val="5"/>
  </w:num>
  <w:num w:numId="4" w16cid:durableId="1107385248">
    <w:abstractNumId w:val="4"/>
  </w:num>
  <w:num w:numId="5" w16cid:durableId="213583947">
    <w:abstractNumId w:val="7"/>
  </w:num>
  <w:num w:numId="6" w16cid:durableId="1793356516">
    <w:abstractNumId w:val="3"/>
  </w:num>
  <w:num w:numId="7" w16cid:durableId="2107845741">
    <w:abstractNumId w:val="2"/>
  </w:num>
  <w:num w:numId="8" w16cid:durableId="248393266">
    <w:abstractNumId w:val="1"/>
  </w:num>
  <w:num w:numId="9" w16cid:durableId="2041544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521"/>
    <w:rsid w:val="00175A42"/>
    <w:rsid w:val="0029639D"/>
    <w:rsid w:val="00326F90"/>
    <w:rsid w:val="00AA1D8D"/>
    <w:rsid w:val="00AC0212"/>
    <w:rsid w:val="00AC5D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85D8E"/>
  <w14:defaultImageDpi w14:val="300"/>
  <w15:docId w15:val="{92DAB3B4-91D7-413C-BEB4-46AFDA46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Linh Nguyen Van</cp:lastModifiedBy>
  <cp:revision>4</cp:revision>
  <dcterms:created xsi:type="dcterms:W3CDTF">2013-12-23T23:15:00Z</dcterms:created>
  <dcterms:modified xsi:type="dcterms:W3CDTF">2025-10-30T14:24:00Z</dcterms:modified>
  <cp:category/>
</cp:coreProperties>
</file>