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3C132" w14:textId="5A633EC1" w:rsidR="00967F52" w:rsidRPr="0043219C" w:rsidRDefault="0043219C" w:rsidP="0043219C">
      <w:pPr>
        <w:pStyle w:val="Heading1"/>
        <w:jc w:val="both"/>
        <w:rPr>
          <w:rFonts w:cstheme="majorHAnsi"/>
          <w:color w:val="000000" w:themeColor="text1"/>
        </w:rPr>
      </w:pPr>
      <w:r>
        <w:rPr>
          <w:rFonts w:cstheme="majorHAnsi"/>
          <w:color w:val="000000" w:themeColor="text1"/>
        </w:rPr>
        <w:t xml:space="preserve">Page 1. </w:t>
      </w:r>
      <w:r w:rsidR="00000000" w:rsidRPr="0043219C">
        <w:rPr>
          <w:rFonts w:cstheme="majorHAnsi"/>
          <w:color w:val="000000" w:themeColor="text1"/>
        </w:rPr>
        <w:t xml:space="preserve">Economy </w:t>
      </w:r>
    </w:p>
    <w:p w14:paraId="20D781BE" w14:textId="77777777" w:rsidR="00967F52" w:rsidRPr="0043219C" w:rsidRDefault="00000000" w:rsidP="0043219C">
      <w:pPr>
        <w:pStyle w:val="Heading2"/>
        <w:jc w:val="both"/>
        <w:rPr>
          <w:rFonts w:cstheme="majorHAnsi"/>
          <w:color w:val="000000" w:themeColor="text1"/>
          <w:sz w:val="24"/>
          <w:szCs w:val="24"/>
        </w:rPr>
      </w:pPr>
      <w:r w:rsidRPr="0043219C">
        <w:rPr>
          <w:rFonts w:cstheme="majorHAnsi"/>
          <w:color w:val="000000" w:themeColor="text1"/>
          <w:sz w:val="24"/>
          <w:szCs w:val="24"/>
        </w:rPr>
        <w:t>Objective</w:t>
      </w:r>
    </w:p>
    <w:p w14:paraId="06992321" w14:textId="77777777" w:rsidR="00967F52" w:rsidRPr="0043219C" w:rsidRDefault="00000000" w:rsidP="0043219C">
      <w:pPr>
        <w:jc w:val="both"/>
        <w:rPr>
          <w:rFonts w:asciiTheme="majorHAnsi" w:hAnsiTheme="majorHAnsi" w:cstheme="majorHAnsi"/>
          <w:color w:val="000000" w:themeColor="text1"/>
          <w:sz w:val="24"/>
          <w:szCs w:val="24"/>
        </w:rPr>
      </w:pPr>
      <w:r w:rsidRPr="0043219C">
        <w:rPr>
          <w:rFonts w:asciiTheme="majorHAnsi" w:hAnsiTheme="majorHAnsi" w:cstheme="majorHAnsi"/>
          <w:color w:val="000000" w:themeColor="text1"/>
          <w:sz w:val="24"/>
          <w:szCs w:val="24"/>
        </w:rPr>
        <w:t>Explain China’s macroeconomic evolution across key dimensions: GDP scale and growth, sectoral transition, investment–growth dynamics, inflation trends, demand structure, trade openness, and external financial position.</w:t>
      </w:r>
    </w:p>
    <w:p w14:paraId="3BE558F1" w14:textId="77777777" w:rsidR="00967F52" w:rsidRPr="0043219C" w:rsidRDefault="00000000" w:rsidP="0043219C">
      <w:pPr>
        <w:pStyle w:val="Heading2"/>
        <w:jc w:val="both"/>
        <w:rPr>
          <w:rFonts w:cstheme="majorHAnsi"/>
          <w:color w:val="000000" w:themeColor="text1"/>
          <w:sz w:val="24"/>
          <w:szCs w:val="24"/>
        </w:rPr>
      </w:pPr>
      <w:r w:rsidRPr="0043219C">
        <w:rPr>
          <w:rFonts w:cstheme="majorHAnsi"/>
          <w:color w:val="000000" w:themeColor="text1"/>
          <w:sz w:val="24"/>
          <w:szCs w:val="24"/>
        </w:rPr>
        <w:t>Introduction</w:t>
      </w:r>
    </w:p>
    <w:p w14:paraId="6891F8FA" w14:textId="77777777" w:rsidR="00967F52" w:rsidRPr="0043219C" w:rsidRDefault="00000000" w:rsidP="0043219C">
      <w:pPr>
        <w:jc w:val="both"/>
        <w:rPr>
          <w:rFonts w:asciiTheme="majorHAnsi" w:hAnsiTheme="majorHAnsi" w:cstheme="majorHAnsi"/>
          <w:color w:val="000000" w:themeColor="text1"/>
          <w:sz w:val="24"/>
          <w:szCs w:val="24"/>
        </w:rPr>
      </w:pPr>
      <w:r w:rsidRPr="0043219C">
        <w:rPr>
          <w:rFonts w:asciiTheme="majorHAnsi" w:hAnsiTheme="majorHAnsi" w:cstheme="majorHAnsi"/>
          <w:color w:val="000000" w:themeColor="text1"/>
          <w:sz w:val="24"/>
          <w:szCs w:val="24"/>
        </w:rPr>
        <w:t>From 2000 to 2020, China experienced rapid economic expansion and significant structural shifts. This section explores GDP performance, sector composition, investment patterns, inflation, and demand structure to understand the drivers behind China’s long</w:t>
      </w:r>
      <w:r w:rsidRPr="0043219C">
        <w:rPr>
          <w:rFonts w:ascii="Cambria Math" w:hAnsi="Cambria Math" w:cs="Cambria Math"/>
          <w:color w:val="000000" w:themeColor="text1"/>
          <w:sz w:val="24"/>
          <w:szCs w:val="24"/>
        </w:rPr>
        <w:t>‑</w:t>
      </w:r>
      <w:r w:rsidRPr="0043219C">
        <w:rPr>
          <w:rFonts w:asciiTheme="majorHAnsi" w:hAnsiTheme="majorHAnsi" w:cstheme="majorHAnsi"/>
          <w:color w:val="000000" w:themeColor="text1"/>
          <w:sz w:val="24"/>
          <w:szCs w:val="24"/>
        </w:rPr>
        <w:t>term growth trajectory.</w:t>
      </w:r>
    </w:p>
    <w:p w14:paraId="43099072" w14:textId="77777777" w:rsidR="00967F52" w:rsidRPr="0043219C" w:rsidRDefault="00000000" w:rsidP="0043219C">
      <w:pPr>
        <w:pStyle w:val="Heading2"/>
        <w:jc w:val="both"/>
        <w:rPr>
          <w:rFonts w:cstheme="majorHAnsi"/>
          <w:color w:val="000000" w:themeColor="text1"/>
          <w:sz w:val="24"/>
          <w:szCs w:val="24"/>
        </w:rPr>
      </w:pPr>
      <w:r w:rsidRPr="0043219C">
        <w:rPr>
          <w:rFonts w:cstheme="majorHAnsi"/>
          <w:color w:val="000000" w:themeColor="text1"/>
          <w:sz w:val="24"/>
          <w:szCs w:val="24"/>
        </w:rPr>
        <w:t>Charts &amp; Narrative</w:t>
      </w:r>
    </w:p>
    <w:p w14:paraId="60F74865" w14:textId="5AD56D7B" w:rsidR="00967F52" w:rsidRPr="0043219C" w:rsidRDefault="00000000" w:rsidP="0043219C">
      <w:pPr>
        <w:pStyle w:val="ListBullet"/>
        <w:numPr>
          <w:ilvl w:val="0"/>
          <w:numId w:val="10"/>
        </w:numPr>
        <w:jc w:val="both"/>
        <w:rPr>
          <w:rFonts w:asciiTheme="majorHAnsi" w:hAnsiTheme="majorHAnsi" w:cstheme="majorHAnsi"/>
          <w:color w:val="000000" w:themeColor="text1"/>
          <w:sz w:val="24"/>
          <w:szCs w:val="24"/>
        </w:rPr>
      </w:pPr>
      <w:r w:rsidRPr="0043219C">
        <w:rPr>
          <w:rFonts w:asciiTheme="majorHAnsi" w:hAnsiTheme="majorHAnsi" w:cstheme="majorHAnsi"/>
          <w:color w:val="000000" w:themeColor="text1"/>
          <w:sz w:val="24"/>
          <w:szCs w:val="24"/>
        </w:rPr>
        <w:t>Topline Dynamics</w:t>
      </w:r>
    </w:p>
    <w:p w14:paraId="09A12283" w14:textId="77777777" w:rsidR="00967F52" w:rsidRPr="0043219C" w:rsidRDefault="00000000" w:rsidP="0043219C">
      <w:pPr>
        <w:pStyle w:val="ListBullet2"/>
        <w:jc w:val="both"/>
        <w:rPr>
          <w:rFonts w:asciiTheme="majorHAnsi" w:hAnsiTheme="majorHAnsi" w:cstheme="majorHAnsi"/>
          <w:color w:val="000000" w:themeColor="text1"/>
          <w:sz w:val="24"/>
          <w:szCs w:val="24"/>
        </w:rPr>
      </w:pPr>
      <w:r w:rsidRPr="0043219C">
        <w:rPr>
          <w:rFonts w:asciiTheme="majorHAnsi" w:hAnsiTheme="majorHAnsi" w:cstheme="majorHAnsi"/>
          <w:color w:val="000000" w:themeColor="text1"/>
          <w:sz w:val="24"/>
          <w:szCs w:val="24"/>
        </w:rPr>
        <w:t>Left Panel: GDP per capita (constant USD) &amp; GDP per capita growth (%) — rising living standards with moderated cycles.</w:t>
      </w:r>
    </w:p>
    <w:p w14:paraId="05B5AA93" w14:textId="77777777" w:rsidR="00967F52" w:rsidRPr="0043219C" w:rsidRDefault="00000000" w:rsidP="0043219C">
      <w:pPr>
        <w:pStyle w:val="ListBullet2"/>
        <w:jc w:val="both"/>
        <w:rPr>
          <w:rFonts w:asciiTheme="majorHAnsi" w:hAnsiTheme="majorHAnsi" w:cstheme="majorHAnsi"/>
          <w:color w:val="000000" w:themeColor="text1"/>
          <w:sz w:val="24"/>
          <w:szCs w:val="24"/>
        </w:rPr>
      </w:pPr>
      <w:r w:rsidRPr="0043219C">
        <w:rPr>
          <w:rFonts w:asciiTheme="majorHAnsi" w:hAnsiTheme="majorHAnsi" w:cstheme="majorHAnsi"/>
          <w:color w:val="000000" w:themeColor="text1"/>
          <w:sz w:val="24"/>
          <w:szCs w:val="24"/>
        </w:rPr>
        <w:t>Right Panel: GDP (USD trillions) &amp; GDP growth (%) — dramatic scale</w:t>
      </w:r>
      <w:r w:rsidRPr="0043219C">
        <w:rPr>
          <w:rFonts w:ascii="Cambria Math" w:hAnsi="Cambria Math" w:cs="Cambria Math"/>
          <w:color w:val="000000" w:themeColor="text1"/>
          <w:sz w:val="24"/>
          <w:szCs w:val="24"/>
        </w:rPr>
        <w:t>‑</w:t>
      </w:r>
      <w:r w:rsidRPr="0043219C">
        <w:rPr>
          <w:rFonts w:asciiTheme="majorHAnsi" w:hAnsiTheme="majorHAnsi" w:cstheme="majorHAnsi"/>
          <w:color w:val="000000" w:themeColor="text1"/>
          <w:sz w:val="24"/>
          <w:szCs w:val="24"/>
        </w:rPr>
        <w:t>up with cyclical fluctuations.</w:t>
      </w:r>
    </w:p>
    <w:p w14:paraId="255D789C" w14:textId="696C1369" w:rsidR="00967F52" w:rsidRPr="0043219C" w:rsidRDefault="00000000" w:rsidP="0043219C">
      <w:pPr>
        <w:pStyle w:val="ListBullet"/>
        <w:numPr>
          <w:ilvl w:val="0"/>
          <w:numId w:val="10"/>
        </w:numPr>
        <w:jc w:val="both"/>
        <w:rPr>
          <w:rFonts w:asciiTheme="majorHAnsi" w:hAnsiTheme="majorHAnsi" w:cstheme="majorHAnsi"/>
          <w:color w:val="000000" w:themeColor="text1"/>
          <w:sz w:val="24"/>
          <w:szCs w:val="24"/>
        </w:rPr>
      </w:pPr>
      <w:r w:rsidRPr="0043219C">
        <w:rPr>
          <w:rFonts w:asciiTheme="majorHAnsi" w:hAnsiTheme="majorHAnsi" w:cstheme="majorHAnsi"/>
          <w:color w:val="000000" w:themeColor="text1"/>
          <w:sz w:val="24"/>
          <w:szCs w:val="24"/>
        </w:rPr>
        <w:t>Investment vs Growth (Scatter)</w:t>
      </w:r>
    </w:p>
    <w:p w14:paraId="0DE8BCC9" w14:textId="77777777" w:rsidR="00967F52" w:rsidRPr="0043219C" w:rsidRDefault="00000000" w:rsidP="0043219C">
      <w:pPr>
        <w:pStyle w:val="ListBullet2"/>
        <w:jc w:val="both"/>
        <w:rPr>
          <w:rFonts w:asciiTheme="majorHAnsi" w:hAnsiTheme="majorHAnsi" w:cstheme="majorHAnsi"/>
          <w:color w:val="000000" w:themeColor="text1"/>
          <w:sz w:val="24"/>
          <w:szCs w:val="24"/>
        </w:rPr>
      </w:pPr>
      <w:r w:rsidRPr="0043219C">
        <w:rPr>
          <w:rFonts w:asciiTheme="majorHAnsi" w:hAnsiTheme="majorHAnsi" w:cstheme="majorHAnsi"/>
          <w:color w:val="000000" w:themeColor="text1"/>
          <w:sz w:val="24"/>
          <w:szCs w:val="24"/>
        </w:rPr>
        <w:t>Investment (% GDP) vs GDP growth (%), color</w:t>
      </w:r>
      <w:r w:rsidRPr="0043219C">
        <w:rPr>
          <w:rFonts w:ascii="Cambria Math" w:hAnsi="Cambria Math" w:cs="Cambria Math"/>
          <w:color w:val="000000" w:themeColor="text1"/>
          <w:sz w:val="24"/>
          <w:szCs w:val="24"/>
        </w:rPr>
        <w:t>‑</w:t>
      </w:r>
      <w:r w:rsidRPr="0043219C">
        <w:rPr>
          <w:rFonts w:asciiTheme="majorHAnsi" w:hAnsiTheme="majorHAnsi" w:cstheme="majorHAnsi"/>
          <w:color w:val="000000" w:themeColor="text1"/>
          <w:sz w:val="24"/>
          <w:szCs w:val="24"/>
        </w:rPr>
        <w:t>coded by decade with OLS trendline.</w:t>
      </w:r>
    </w:p>
    <w:p w14:paraId="349F22C4" w14:textId="77777777" w:rsidR="00967F52" w:rsidRPr="0043219C" w:rsidRDefault="00000000" w:rsidP="0043219C">
      <w:pPr>
        <w:pStyle w:val="ListBullet2"/>
        <w:jc w:val="both"/>
        <w:rPr>
          <w:rFonts w:asciiTheme="majorHAnsi" w:hAnsiTheme="majorHAnsi" w:cstheme="majorHAnsi"/>
          <w:color w:val="000000" w:themeColor="text1"/>
          <w:sz w:val="24"/>
          <w:szCs w:val="24"/>
        </w:rPr>
      </w:pPr>
      <w:r w:rsidRPr="0043219C">
        <w:rPr>
          <w:rFonts w:asciiTheme="majorHAnsi" w:hAnsiTheme="majorHAnsi" w:cstheme="majorHAnsi"/>
          <w:color w:val="000000" w:themeColor="text1"/>
          <w:sz w:val="24"/>
          <w:szCs w:val="24"/>
        </w:rPr>
        <w:t>Illustrates evolving efficiency of capital formation across periods.</w:t>
      </w:r>
    </w:p>
    <w:p w14:paraId="58059870" w14:textId="01F867B5" w:rsidR="00967F52" w:rsidRPr="0043219C" w:rsidRDefault="00000000" w:rsidP="0043219C">
      <w:pPr>
        <w:pStyle w:val="ListBullet"/>
        <w:numPr>
          <w:ilvl w:val="0"/>
          <w:numId w:val="10"/>
        </w:numPr>
        <w:jc w:val="both"/>
        <w:rPr>
          <w:rFonts w:asciiTheme="majorHAnsi" w:hAnsiTheme="majorHAnsi" w:cstheme="majorHAnsi"/>
          <w:color w:val="000000" w:themeColor="text1"/>
          <w:sz w:val="24"/>
          <w:szCs w:val="24"/>
        </w:rPr>
      </w:pPr>
      <w:r w:rsidRPr="0043219C">
        <w:rPr>
          <w:rFonts w:asciiTheme="majorHAnsi" w:hAnsiTheme="majorHAnsi" w:cstheme="majorHAnsi"/>
          <w:color w:val="000000" w:themeColor="text1"/>
          <w:sz w:val="24"/>
          <w:szCs w:val="24"/>
        </w:rPr>
        <w:t>Inflation Dynamics</w:t>
      </w:r>
    </w:p>
    <w:p w14:paraId="69B5D55B" w14:textId="77777777" w:rsidR="00967F52" w:rsidRPr="0043219C" w:rsidRDefault="00000000" w:rsidP="0043219C">
      <w:pPr>
        <w:pStyle w:val="ListBullet2"/>
        <w:jc w:val="both"/>
        <w:rPr>
          <w:rFonts w:asciiTheme="majorHAnsi" w:hAnsiTheme="majorHAnsi" w:cstheme="majorHAnsi"/>
          <w:color w:val="000000" w:themeColor="text1"/>
          <w:sz w:val="24"/>
          <w:szCs w:val="24"/>
        </w:rPr>
      </w:pPr>
      <w:r w:rsidRPr="0043219C">
        <w:rPr>
          <w:rFonts w:asciiTheme="majorHAnsi" w:hAnsiTheme="majorHAnsi" w:cstheme="majorHAnsi"/>
          <w:color w:val="000000" w:themeColor="text1"/>
          <w:sz w:val="24"/>
          <w:szCs w:val="24"/>
        </w:rPr>
        <w:t>Dual line: CPI inflation (%) vs GDP deflator (%).</w:t>
      </w:r>
    </w:p>
    <w:p w14:paraId="7FC6E7A2" w14:textId="77777777" w:rsidR="00967F52" w:rsidRPr="0043219C" w:rsidRDefault="00000000" w:rsidP="0043219C">
      <w:pPr>
        <w:pStyle w:val="ListBullet2"/>
        <w:jc w:val="both"/>
        <w:rPr>
          <w:rFonts w:asciiTheme="majorHAnsi" w:hAnsiTheme="majorHAnsi" w:cstheme="majorHAnsi"/>
          <w:color w:val="000000" w:themeColor="text1"/>
          <w:sz w:val="24"/>
          <w:szCs w:val="24"/>
        </w:rPr>
      </w:pPr>
      <w:r w:rsidRPr="0043219C">
        <w:rPr>
          <w:rFonts w:asciiTheme="majorHAnsi" w:hAnsiTheme="majorHAnsi" w:cstheme="majorHAnsi"/>
          <w:color w:val="000000" w:themeColor="text1"/>
          <w:sz w:val="24"/>
          <w:szCs w:val="24"/>
        </w:rPr>
        <w:t>Shows consumer vs broad price movements, including overheating and stabilization phases.</w:t>
      </w:r>
    </w:p>
    <w:p w14:paraId="0CB1416B" w14:textId="5FBF4DFD" w:rsidR="00967F52" w:rsidRPr="0043219C" w:rsidRDefault="00000000" w:rsidP="0043219C">
      <w:pPr>
        <w:pStyle w:val="ListBullet"/>
        <w:numPr>
          <w:ilvl w:val="0"/>
          <w:numId w:val="10"/>
        </w:numPr>
        <w:jc w:val="both"/>
        <w:rPr>
          <w:rFonts w:asciiTheme="majorHAnsi" w:hAnsiTheme="majorHAnsi" w:cstheme="majorHAnsi"/>
          <w:color w:val="000000" w:themeColor="text1"/>
          <w:sz w:val="24"/>
          <w:szCs w:val="24"/>
        </w:rPr>
      </w:pPr>
      <w:r w:rsidRPr="0043219C">
        <w:rPr>
          <w:rFonts w:asciiTheme="majorHAnsi" w:hAnsiTheme="majorHAnsi" w:cstheme="majorHAnsi"/>
          <w:color w:val="000000" w:themeColor="text1"/>
          <w:sz w:val="24"/>
          <w:szCs w:val="24"/>
        </w:rPr>
        <w:t>Demand Composition (Treemap)</w:t>
      </w:r>
    </w:p>
    <w:p w14:paraId="07275A40" w14:textId="77777777" w:rsidR="00967F52" w:rsidRPr="0043219C" w:rsidRDefault="00000000" w:rsidP="0043219C">
      <w:pPr>
        <w:pStyle w:val="ListBullet2"/>
        <w:jc w:val="both"/>
        <w:rPr>
          <w:rFonts w:asciiTheme="majorHAnsi" w:hAnsiTheme="majorHAnsi" w:cstheme="majorHAnsi"/>
          <w:color w:val="000000" w:themeColor="text1"/>
          <w:sz w:val="24"/>
          <w:szCs w:val="24"/>
        </w:rPr>
      </w:pPr>
      <w:r w:rsidRPr="0043219C">
        <w:rPr>
          <w:rFonts w:asciiTheme="majorHAnsi" w:hAnsiTheme="majorHAnsi" w:cstheme="majorHAnsi"/>
          <w:color w:val="000000" w:themeColor="text1"/>
          <w:sz w:val="24"/>
          <w:szCs w:val="24"/>
        </w:rPr>
        <w:t>Shares of consumption, government spending, investment, and net exports in GDP.</w:t>
      </w:r>
    </w:p>
    <w:p w14:paraId="0BBDFB75" w14:textId="77777777" w:rsidR="00967F52" w:rsidRPr="0043219C" w:rsidRDefault="00000000" w:rsidP="0043219C">
      <w:pPr>
        <w:pStyle w:val="ListBullet2"/>
        <w:jc w:val="both"/>
        <w:rPr>
          <w:rFonts w:asciiTheme="majorHAnsi" w:hAnsiTheme="majorHAnsi" w:cstheme="majorHAnsi"/>
          <w:color w:val="000000" w:themeColor="text1"/>
          <w:sz w:val="24"/>
          <w:szCs w:val="24"/>
        </w:rPr>
      </w:pPr>
      <w:r w:rsidRPr="0043219C">
        <w:rPr>
          <w:rFonts w:asciiTheme="majorHAnsi" w:hAnsiTheme="majorHAnsi" w:cstheme="majorHAnsi"/>
          <w:color w:val="000000" w:themeColor="text1"/>
          <w:sz w:val="24"/>
          <w:szCs w:val="24"/>
        </w:rPr>
        <w:t>Highlights rebalancing toward domestic consumption in later years.</w:t>
      </w:r>
    </w:p>
    <w:p w14:paraId="12645F72" w14:textId="2768C7BA" w:rsidR="00967F52" w:rsidRPr="0043219C" w:rsidRDefault="00000000" w:rsidP="0043219C">
      <w:pPr>
        <w:pStyle w:val="ListBullet"/>
        <w:numPr>
          <w:ilvl w:val="0"/>
          <w:numId w:val="10"/>
        </w:numPr>
        <w:jc w:val="both"/>
        <w:rPr>
          <w:rFonts w:asciiTheme="majorHAnsi" w:hAnsiTheme="majorHAnsi" w:cstheme="majorHAnsi"/>
          <w:color w:val="000000" w:themeColor="text1"/>
          <w:sz w:val="24"/>
          <w:szCs w:val="24"/>
        </w:rPr>
      </w:pPr>
      <w:r w:rsidRPr="0043219C">
        <w:rPr>
          <w:rFonts w:asciiTheme="majorHAnsi" w:hAnsiTheme="majorHAnsi" w:cstheme="majorHAnsi"/>
          <w:color w:val="000000" w:themeColor="text1"/>
          <w:sz w:val="24"/>
          <w:szCs w:val="24"/>
        </w:rPr>
        <w:t>Structural &amp; External Orientation</w:t>
      </w:r>
    </w:p>
    <w:p w14:paraId="2FAE44C6" w14:textId="77777777" w:rsidR="00967F52" w:rsidRPr="0043219C" w:rsidRDefault="00000000" w:rsidP="0043219C">
      <w:pPr>
        <w:pStyle w:val="ListBullet2"/>
        <w:jc w:val="both"/>
        <w:rPr>
          <w:rFonts w:asciiTheme="majorHAnsi" w:hAnsiTheme="majorHAnsi" w:cstheme="majorHAnsi"/>
          <w:color w:val="000000" w:themeColor="text1"/>
          <w:sz w:val="24"/>
          <w:szCs w:val="24"/>
        </w:rPr>
      </w:pPr>
      <w:r w:rsidRPr="0043219C">
        <w:rPr>
          <w:rFonts w:asciiTheme="majorHAnsi" w:hAnsiTheme="majorHAnsi" w:cstheme="majorHAnsi"/>
          <w:color w:val="000000" w:themeColor="text1"/>
          <w:sz w:val="24"/>
          <w:szCs w:val="24"/>
        </w:rPr>
        <w:lastRenderedPageBreak/>
        <w:t>Sector composition: agriculture → industry → services — gradual service</w:t>
      </w:r>
      <w:r w:rsidRPr="0043219C">
        <w:rPr>
          <w:rFonts w:ascii="Cambria Math" w:hAnsi="Cambria Math" w:cs="Cambria Math"/>
          <w:color w:val="000000" w:themeColor="text1"/>
          <w:sz w:val="24"/>
          <w:szCs w:val="24"/>
        </w:rPr>
        <w:t>‑</w:t>
      </w:r>
      <w:r w:rsidRPr="0043219C">
        <w:rPr>
          <w:rFonts w:asciiTheme="majorHAnsi" w:hAnsiTheme="majorHAnsi" w:cstheme="majorHAnsi"/>
          <w:color w:val="000000" w:themeColor="text1"/>
          <w:sz w:val="24"/>
          <w:szCs w:val="24"/>
        </w:rPr>
        <w:t>driven economy shift.</w:t>
      </w:r>
    </w:p>
    <w:p w14:paraId="4B9127C9" w14:textId="77777777" w:rsidR="00967F52" w:rsidRPr="0043219C" w:rsidRDefault="00000000" w:rsidP="0043219C">
      <w:pPr>
        <w:pStyle w:val="ListBullet2"/>
        <w:jc w:val="both"/>
        <w:rPr>
          <w:rFonts w:asciiTheme="majorHAnsi" w:hAnsiTheme="majorHAnsi" w:cstheme="majorHAnsi"/>
          <w:color w:val="000000" w:themeColor="text1"/>
          <w:sz w:val="24"/>
          <w:szCs w:val="24"/>
        </w:rPr>
      </w:pPr>
      <w:r w:rsidRPr="0043219C">
        <w:rPr>
          <w:rFonts w:asciiTheme="majorHAnsi" w:hAnsiTheme="majorHAnsi" w:cstheme="majorHAnsi"/>
          <w:color w:val="000000" w:themeColor="text1"/>
          <w:sz w:val="24"/>
          <w:szCs w:val="24"/>
        </w:rPr>
        <w:t>Trade openness: exports &amp; imports (% GDP), with WTO 2001 marker — deep global integration then moderation.</w:t>
      </w:r>
    </w:p>
    <w:p w14:paraId="1AB02B47" w14:textId="73B97F9C" w:rsidR="00967F52" w:rsidRPr="0043219C" w:rsidRDefault="00000000" w:rsidP="0043219C">
      <w:pPr>
        <w:pStyle w:val="ListBullet"/>
        <w:numPr>
          <w:ilvl w:val="0"/>
          <w:numId w:val="10"/>
        </w:numPr>
        <w:jc w:val="both"/>
        <w:rPr>
          <w:rFonts w:asciiTheme="majorHAnsi" w:hAnsiTheme="majorHAnsi" w:cstheme="majorHAnsi"/>
          <w:color w:val="000000" w:themeColor="text1"/>
          <w:sz w:val="24"/>
          <w:szCs w:val="24"/>
        </w:rPr>
      </w:pPr>
      <w:r w:rsidRPr="0043219C">
        <w:rPr>
          <w:rFonts w:asciiTheme="majorHAnsi" w:hAnsiTheme="majorHAnsi" w:cstheme="majorHAnsi"/>
          <w:color w:val="000000" w:themeColor="text1"/>
          <w:sz w:val="24"/>
          <w:szCs w:val="24"/>
        </w:rPr>
        <w:t>Financial &amp; External Indicators (Optional)</w:t>
      </w:r>
    </w:p>
    <w:p w14:paraId="737913CA" w14:textId="77777777" w:rsidR="00967F52" w:rsidRPr="0043219C" w:rsidRDefault="00000000" w:rsidP="0043219C">
      <w:pPr>
        <w:pStyle w:val="ListBullet2"/>
        <w:jc w:val="both"/>
        <w:rPr>
          <w:rFonts w:asciiTheme="majorHAnsi" w:hAnsiTheme="majorHAnsi" w:cstheme="majorHAnsi"/>
          <w:color w:val="000000" w:themeColor="text1"/>
          <w:sz w:val="24"/>
          <w:szCs w:val="24"/>
        </w:rPr>
      </w:pPr>
      <w:r w:rsidRPr="0043219C">
        <w:rPr>
          <w:rFonts w:asciiTheme="majorHAnsi" w:hAnsiTheme="majorHAnsi" w:cstheme="majorHAnsi"/>
          <w:color w:val="000000" w:themeColor="text1"/>
          <w:sz w:val="24"/>
          <w:szCs w:val="24"/>
        </w:rPr>
        <w:t>FDI vs GDP growth (dual</w:t>
      </w:r>
      <w:r w:rsidRPr="0043219C">
        <w:rPr>
          <w:rFonts w:ascii="Cambria Math" w:hAnsi="Cambria Math" w:cs="Cambria Math"/>
          <w:color w:val="000000" w:themeColor="text1"/>
          <w:sz w:val="24"/>
          <w:szCs w:val="24"/>
        </w:rPr>
        <w:t>‑</w:t>
      </w:r>
      <w:r w:rsidRPr="0043219C">
        <w:rPr>
          <w:rFonts w:asciiTheme="majorHAnsi" w:hAnsiTheme="majorHAnsi" w:cstheme="majorHAnsi"/>
          <w:color w:val="000000" w:themeColor="text1"/>
          <w:sz w:val="24"/>
          <w:szCs w:val="24"/>
        </w:rPr>
        <w:t xml:space="preserve">axis) </w:t>
      </w:r>
      <w:r w:rsidRPr="0043219C">
        <w:rPr>
          <w:rFonts w:ascii="Calibri" w:hAnsi="Calibri" w:cs="Calibri"/>
          <w:color w:val="000000" w:themeColor="text1"/>
          <w:sz w:val="24"/>
          <w:szCs w:val="24"/>
        </w:rPr>
        <w:t>—</w:t>
      </w:r>
      <w:r w:rsidRPr="0043219C">
        <w:rPr>
          <w:rFonts w:asciiTheme="majorHAnsi" w:hAnsiTheme="majorHAnsi" w:cstheme="majorHAnsi"/>
          <w:color w:val="000000" w:themeColor="text1"/>
          <w:sz w:val="24"/>
          <w:szCs w:val="24"/>
        </w:rPr>
        <w:t xml:space="preserve"> links external capital and growth cycles.</w:t>
      </w:r>
    </w:p>
    <w:p w14:paraId="06F913CA" w14:textId="77777777" w:rsidR="00967F52" w:rsidRPr="0043219C" w:rsidRDefault="00000000" w:rsidP="0043219C">
      <w:pPr>
        <w:pStyle w:val="ListBullet2"/>
        <w:jc w:val="both"/>
        <w:rPr>
          <w:rFonts w:asciiTheme="majorHAnsi" w:hAnsiTheme="majorHAnsi" w:cstheme="majorHAnsi"/>
          <w:color w:val="000000" w:themeColor="text1"/>
          <w:sz w:val="24"/>
          <w:szCs w:val="24"/>
        </w:rPr>
      </w:pPr>
      <w:r w:rsidRPr="0043219C">
        <w:rPr>
          <w:rFonts w:asciiTheme="majorHAnsi" w:hAnsiTheme="majorHAnsi" w:cstheme="majorHAnsi"/>
          <w:color w:val="000000" w:themeColor="text1"/>
          <w:sz w:val="24"/>
          <w:szCs w:val="24"/>
        </w:rPr>
        <w:t>External debt vs reserves — resilience and buffer accumulation.</w:t>
      </w:r>
    </w:p>
    <w:p w14:paraId="1C78D2F9" w14:textId="77777777" w:rsidR="00967F52" w:rsidRPr="0043219C" w:rsidRDefault="00000000" w:rsidP="0043219C">
      <w:pPr>
        <w:pStyle w:val="ListBullet2"/>
        <w:jc w:val="both"/>
        <w:rPr>
          <w:rFonts w:asciiTheme="majorHAnsi" w:hAnsiTheme="majorHAnsi" w:cstheme="majorHAnsi"/>
          <w:color w:val="000000" w:themeColor="text1"/>
          <w:sz w:val="24"/>
          <w:szCs w:val="24"/>
        </w:rPr>
      </w:pPr>
      <w:r w:rsidRPr="0043219C">
        <w:rPr>
          <w:rFonts w:asciiTheme="majorHAnsi" w:hAnsiTheme="majorHAnsi" w:cstheme="majorHAnsi"/>
          <w:color w:val="000000" w:themeColor="text1"/>
          <w:sz w:val="24"/>
          <w:szCs w:val="24"/>
        </w:rPr>
        <w:t>Current account by decade — distribution view.</w:t>
      </w:r>
    </w:p>
    <w:p w14:paraId="624262D6" w14:textId="77777777" w:rsidR="00967F52" w:rsidRPr="0043219C" w:rsidRDefault="00000000" w:rsidP="0043219C">
      <w:pPr>
        <w:pStyle w:val="ListBullet2"/>
        <w:jc w:val="both"/>
        <w:rPr>
          <w:rFonts w:asciiTheme="majorHAnsi" w:hAnsiTheme="majorHAnsi" w:cstheme="majorHAnsi"/>
          <w:color w:val="000000" w:themeColor="text1"/>
          <w:sz w:val="24"/>
          <w:szCs w:val="24"/>
        </w:rPr>
      </w:pPr>
      <w:r w:rsidRPr="0043219C">
        <w:rPr>
          <w:rFonts w:asciiTheme="majorHAnsi" w:hAnsiTheme="majorHAnsi" w:cstheme="majorHAnsi"/>
          <w:color w:val="000000" w:themeColor="text1"/>
          <w:sz w:val="24"/>
          <w:szCs w:val="24"/>
        </w:rPr>
        <w:t>Correlation heatmap: trade, FDI, debt, consumption, growth.</w:t>
      </w:r>
    </w:p>
    <w:p w14:paraId="27D6976A" w14:textId="77777777" w:rsidR="00967F52" w:rsidRPr="0043219C" w:rsidRDefault="00000000" w:rsidP="0043219C">
      <w:pPr>
        <w:pStyle w:val="Heading2"/>
        <w:jc w:val="both"/>
        <w:rPr>
          <w:rFonts w:cstheme="majorHAnsi"/>
          <w:color w:val="000000" w:themeColor="text1"/>
          <w:sz w:val="24"/>
          <w:szCs w:val="24"/>
        </w:rPr>
      </w:pPr>
      <w:r w:rsidRPr="0043219C">
        <w:rPr>
          <w:rFonts w:cstheme="majorHAnsi"/>
          <w:color w:val="000000" w:themeColor="text1"/>
          <w:sz w:val="24"/>
          <w:szCs w:val="24"/>
        </w:rPr>
        <w:t>Conclusion</w:t>
      </w:r>
    </w:p>
    <w:p w14:paraId="6E7B9805" w14:textId="77777777" w:rsidR="00967F52" w:rsidRPr="0043219C" w:rsidRDefault="00000000" w:rsidP="0043219C">
      <w:pPr>
        <w:jc w:val="both"/>
        <w:rPr>
          <w:rFonts w:asciiTheme="majorHAnsi" w:hAnsiTheme="majorHAnsi" w:cstheme="majorHAnsi"/>
          <w:color w:val="000000" w:themeColor="text1"/>
          <w:sz w:val="24"/>
          <w:szCs w:val="24"/>
        </w:rPr>
      </w:pPr>
      <w:r w:rsidRPr="0043219C">
        <w:rPr>
          <w:rFonts w:asciiTheme="majorHAnsi" w:hAnsiTheme="majorHAnsi" w:cstheme="majorHAnsi"/>
          <w:color w:val="000000" w:themeColor="text1"/>
          <w:sz w:val="24"/>
          <w:szCs w:val="24"/>
        </w:rPr>
        <w:t>Between 2000 and 2020, China’s GDP expanded more than tenfold, inflation was largely kept in check, and the economy transitioned from manufacturing</w:t>
      </w:r>
      <w:r w:rsidRPr="0043219C">
        <w:rPr>
          <w:rFonts w:ascii="Cambria Math" w:hAnsi="Cambria Math" w:cs="Cambria Math"/>
          <w:color w:val="000000" w:themeColor="text1"/>
          <w:sz w:val="24"/>
          <w:szCs w:val="24"/>
        </w:rPr>
        <w:t>‑</w:t>
      </w:r>
      <w:r w:rsidRPr="0043219C">
        <w:rPr>
          <w:rFonts w:asciiTheme="majorHAnsi" w:hAnsiTheme="majorHAnsi" w:cstheme="majorHAnsi"/>
          <w:color w:val="000000" w:themeColor="text1"/>
          <w:sz w:val="24"/>
          <w:szCs w:val="24"/>
        </w:rPr>
        <w:t>heavy to service</w:t>
      </w:r>
      <w:r w:rsidRPr="0043219C">
        <w:rPr>
          <w:rFonts w:ascii="Cambria Math" w:hAnsi="Cambria Math" w:cs="Cambria Math"/>
          <w:color w:val="000000" w:themeColor="text1"/>
          <w:sz w:val="24"/>
          <w:szCs w:val="24"/>
        </w:rPr>
        <w:t>‑</w:t>
      </w:r>
      <w:r w:rsidRPr="0043219C">
        <w:rPr>
          <w:rFonts w:asciiTheme="majorHAnsi" w:hAnsiTheme="majorHAnsi" w:cstheme="majorHAnsi"/>
          <w:color w:val="000000" w:themeColor="text1"/>
          <w:sz w:val="24"/>
          <w:szCs w:val="24"/>
        </w:rPr>
        <w:t>oriented. The investment</w:t>
      </w:r>
      <w:r w:rsidRPr="0043219C">
        <w:rPr>
          <w:rFonts w:ascii="Cambria Math" w:hAnsi="Cambria Math" w:cs="Cambria Math"/>
          <w:color w:val="000000" w:themeColor="text1"/>
          <w:sz w:val="24"/>
          <w:szCs w:val="24"/>
        </w:rPr>
        <w:t>‑</w:t>
      </w:r>
      <w:r w:rsidRPr="0043219C">
        <w:rPr>
          <w:rFonts w:asciiTheme="majorHAnsi" w:hAnsiTheme="majorHAnsi" w:cstheme="majorHAnsi"/>
          <w:color w:val="000000" w:themeColor="text1"/>
          <w:sz w:val="24"/>
          <w:szCs w:val="24"/>
        </w:rPr>
        <w:t>driven era gradually gave way to more balanced, consumption</w:t>
      </w:r>
      <w:r w:rsidRPr="0043219C">
        <w:rPr>
          <w:rFonts w:ascii="Cambria Math" w:hAnsi="Cambria Math" w:cs="Cambria Math"/>
          <w:color w:val="000000" w:themeColor="text1"/>
          <w:sz w:val="24"/>
          <w:szCs w:val="24"/>
        </w:rPr>
        <w:t>‑</w:t>
      </w:r>
      <w:r w:rsidRPr="0043219C">
        <w:rPr>
          <w:rFonts w:asciiTheme="majorHAnsi" w:hAnsiTheme="majorHAnsi" w:cstheme="majorHAnsi"/>
          <w:color w:val="000000" w:themeColor="text1"/>
          <w:sz w:val="24"/>
          <w:szCs w:val="24"/>
        </w:rPr>
        <w:t>supported growth.</w:t>
      </w:r>
    </w:p>
    <w:p w14:paraId="1683E1D8" w14:textId="77777777" w:rsidR="00967F52" w:rsidRPr="0043219C" w:rsidRDefault="00000000" w:rsidP="0043219C">
      <w:pPr>
        <w:pStyle w:val="Heading2"/>
        <w:jc w:val="both"/>
        <w:rPr>
          <w:rFonts w:cstheme="majorHAnsi"/>
          <w:color w:val="000000" w:themeColor="text1"/>
          <w:sz w:val="24"/>
          <w:szCs w:val="24"/>
        </w:rPr>
      </w:pPr>
      <w:r w:rsidRPr="0043219C">
        <w:rPr>
          <w:rFonts w:cstheme="majorHAnsi"/>
          <w:color w:val="000000" w:themeColor="text1"/>
          <w:sz w:val="24"/>
          <w:szCs w:val="24"/>
        </w:rPr>
        <w:t>Design &amp; Interaction Notes</w:t>
      </w:r>
    </w:p>
    <w:p w14:paraId="5C7BCFD8" w14:textId="255DE478" w:rsidR="00967F52" w:rsidRPr="0043219C" w:rsidRDefault="00000000" w:rsidP="00687D08">
      <w:pPr>
        <w:pStyle w:val="ListBullet"/>
        <w:numPr>
          <w:ilvl w:val="0"/>
          <w:numId w:val="11"/>
        </w:numPr>
        <w:jc w:val="both"/>
        <w:rPr>
          <w:rFonts w:asciiTheme="majorHAnsi" w:hAnsiTheme="majorHAnsi" w:cstheme="majorHAnsi"/>
          <w:color w:val="000000" w:themeColor="text1"/>
          <w:sz w:val="24"/>
          <w:szCs w:val="24"/>
        </w:rPr>
      </w:pPr>
      <w:r w:rsidRPr="0043219C">
        <w:rPr>
          <w:rFonts w:asciiTheme="majorHAnsi" w:hAnsiTheme="majorHAnsi" w:cstheme="majorHAnsi"/>
          <w:color w:val="000000" w:themeColor="text1"/>
          <w:sz w:val="24"/>
          <w:szCs w:val="24"/>
        </w:rPr>
        <w:t>Consistent spacing and typographic hierarchy.</w:t>
      </w:r>
    </w:p>
    <w:p w14:paraId="14E16A09" w14:textId="77777777" w:rsidR="00967F52" w:rsidRPr="0043219C" w:rsidRDefault="00000000" w:rsidP="00687D08">
      <w:pPr>
        <w:pStyle w:val="ListBullet"/>
        <w:numPr>
          <w:ilvl w:val="0"/>
          <w:numId w:val="11"/>
        </w:numPr>
        <w:jc w:val="both"/>
        <w:rPr>
          <w:rFonts w:asciiTheme="majorHAnsi" w:hAnsiTheme="majorHAnsi" w:cstheme="majorHAnsi"/>
          <w:color w:val="000000" w:themeColor="text1"/>
          <w:sz w:val="24"/>
          <w:szCs w:val="24"/>
        </w:rPr>
      </w:pPr>
      <w:r w:rsidRPr="0043219C">
        <w:rPr>
          <w:rFonts w:asciiTheme="majorHAnsi" w:hAnsiTheme="majorHAnsi" w:cstheme="majorHAnsi"/>
          <w:color w:val="000000" w:themeColor="text1"/>
          <w:sz w:val="24"/>
          <w:szCs w:val="24"/>
        </w:rPr>
        <w:t>Decadal filters for comparative analysis.</w:t>
      </w:r>
    </w:p>
    <w:p w14:paraId="26ADA992" w14:textId="77777777" w:rsidR="00967F52" w:rsidRPr="0043219C" w:rsidRDefault="00000000" w:rsidP="00687D08">
      <w:pPr>
        <w:pStyle w:val="ListBullet"/>
        <w:numPr>
          <w:ilvl w:val="0"/>
          <w:numId w:val="11"/>
        </w:numPr>
        <w:jc w:val="both"/>
        <w:rPr>
          <w:rFonts w:asciiTheme="majorHAnsi" w:hAnsiTheme="majorHAnsi" w:cstheme="majorHAnsi"/>
          <w:color w:val="000000" w:themeColor="text1"/>
          <w:sz w:val="24"/>
          <w:szCs w:val="24"/>
        </w:rPr>
      </w:pPr>
      <w:r w:rsidRPr="0043219C">
        <w:rPr>
          <w:rFonts w:asciiTheme="majorHAnsi" w:hAnsiTheme="majorHAnsi" w:cstheme="majorHAnsi"/>
          <w:color w:val="000000" w:themeColor="text1"/>
          <w:sz w:val="24"/>
          <w:szCs w:val="24"/>
        </w:rPr>
        <w:t>Horizontal legends for compact readability.</w:t>
      </w:r>
    </w:p>
    <w:p w14:paraId="6F4F18C2" w14:textId="77777777" w:rsidR="00967F52" w:rsidRPr="0043219C" w:rsidRDefault="00000000" w:rsidP="00687D08">
      <w:pPr>
        <w:pStyle w:val="ListBullet"/>
        <w:numPr>
          <w:ilvl w:val="0"/>
          <w:numId w:val="11"/>
        </w:numPr>
        <w:jc w:val="both"/>
        <w:rPr>
          <w:rFonts w:asciiTheme="majorHAnsi" w:hAnsiTheme="majorHAnsi" w:cstheme="majorHAnsi"/>
          <w:color w:val="000000" w:themeColor="text1"/>
          <w:sz w:val="24"/>
          <w:szCs w:val="24"/>
        </w:rPr>
      </w:pPr>
      <w:r w:rsidRPr="0043219C">
        <w:rPr>
          <w:rFonts w:asciiTheme="majorHAnsi" w:hAnsiTheme="majorHAnsi" w:cstheme="majorHAnsi"/>
          <w:color w:val="000000" w:themeColor="text1"/>
          <w:sz w:val="24"/>
          <w:szCs w:val="24"/>
        </w:rPr>
        <w:t>Key event annotations (e.g., WTO accession in 2001).</w:t>
      </w:r>
    </w:p>
    <w:sectPr w:rsidR="00967F52" w:rsidRPr="0043219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23956CA"/>
    <w:multiLevelType w:val="hybridMultilevel"/>
    <w:tmpl w:val="2DE2A7EE"/>
    <w:lvl w:ilvl="0" w:tplc="671E852A">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15:restartNumberingAfterBreak="0">
    <w:nsid w:val="49D53E7A"/>
    <w:multiLevelType w:val="hybridMultilevel"/>
    <w:tmpl w:val="48DA4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4560071">
    <w:abstractNumId w:val="8"/>
  </w:num>
  <w:num w:numId="2" w16cid:durableId="26412415">
    <w:abstractNumId w:val="6"/>
  </w:num>
  <w:num w:numId="3" w16cid:durableId="516966971">
    <w:abstractNumId w:val="5"/>
  </w:num>
  <w:num w:numId="4" w16cid:durableId="1306662046">
    <w:abstractNumId w:val="4"/>
  </w:num>
  <w:num w:numId="5" w16cid:durableId="623001360">
    <w:abstractNumId w:val="7"/>
  </w:num>
  <w:num w:numId="6" w16cid:durableId="1581911567">
    <w:abstractNumId w:val="3"/>
  </w:num>
  <w:num w:numId="7" w16cid:durableId="963315662">
    <w:abstractNumId w:val="2"/>
  </w:num>
  <w:num w:numId="8" w16cid:durableId="810710540">
    <w:abstractNumId w:val="1"/>
  </w:num>
  <w:num w:numId="9" w16cid:durableId="1976787286">
    <w:abstractNumId w:val="0"/>
  </w:num>
  <w:num w:numId="10" w16cid:durableId="1570188358">
    <w:abstractNumId w:val="10"/>
  </w:num>
  <w:num w:numId="11" w16cid:durableId="4834742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3219C"/>
    <w:rsid w:val="00687D08"/>
    <w:rsid w:val="00967F5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3B65FE"/>
  <w14:defaultImageDpi w14:val="300"/>
  <w15:docId w15:val="{92DAB3B4-91D7-413C-BEB4-46AFDA46A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346</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Linh Nguyen Van</cp:lastModifiedBy>
  <cp:revision>3</cp:revision>
  <dcterms:created xsi:type="dcterms:W3CDTF">2013-12-23T23:15:00Z</dcterms:created>
  <dcterms:modified xsi:type="dcterms:W3CDTF">2025-10-30T14:19:00Z</dcterms:modified>
  <cp:category/>
</cp:coreProperties>
</file>