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92DAF" w14:textId="046C9FDC" w:rsidR="007D29B7" w:rsidRPr="00D91E57" w:rsidRDefault="00AB0875" w:rsidP="00D91E57">
      <w:pPr>
        <w:pStyle w:val="Heading1"/>
        <w:jc w:val="both"/>
        <w:rPr>
          <w:rFonts w:cstheme="majorHAnsi"/>
          <w:color w:val="000000" w:themeColor="text1"/>
        </w:rPr>
      </w:pPr>
      <w:r>
        <w:rPr>
          <w:rFonts w:cstheme="majorHAnsi"/>
          <w:color w:val="000000" w:themeColor="text1"/>
        </w:rPr>
        <w:t xml:space="preserve">Page 2. </w:t>
      </w:r>
      <w:r w:rsidR="00000000" w:rsidRPr="00D91E57">
        <w:rPr>
          <w:rFonts w:cstheme="majorHAnsi"/>
          <w:color w:val="000000" w:themeColor="text1"/>
        </w:rPr>
        <w:t>Population (2000–2020)</w:t>
      </w:r>
    </w:p>
    <w:p w14:paraId="334A72B5" w14:textId="77777777" w:rsidR="007D29B7" w:rsidRPr="00D91E57" w:rsidRDefault="00000000" w:rsidP="00D91E57">
      <w:pPr>
        <w:pStyle w:val="Heading2"/>
        <w:jc w:val="both"/>
        <w:rPr>
          <w:rFonts w:cstheme="majorHAnsi"/>
          <w:color w:val="000000" w:themeColor="text1"/>
          <w:sz w:val="24"/>
          <w:szCs w:val="24"/>
        </w:rPr>
      </w:pPr>
      <w:r w:rsidRPr="00D91E57">
        <w:rPr>
          <w:rFonts w:cstheme="majorHAnsi"/>
          <w:color w:val="000000" w:themeColor="text1"/>
          <w:sz w:val="24"/>
          <w:szCs w:val="24"/>
        </w:rPr>
        <w:t>Objective</w:t>
      </w:r>
    </w:p>
    <w:p w14:paraId="4A1F6551" w14:textId="77777777" w:rsidR="007D29B7" w:rsidRPr="00D91E57" w:rsidRDefault="00000000" w:rsidP="00D91E57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91E57">
        <w:rPr>
          <w:rFonts w:asciiTheme="majorHAnsi" w:hAnsiTheme="majorHAnsi" w:cstheme="majorHAnsi"/>
          <w:color w:val="000000" w:themeColor="text1"/>
          <w:sz w:val="24"/>
          <w:szCs w:val="24"/>
        </w:rPr>
        <w:t>Explain population scale and growth, gender balance, age structure, employment composition, and the urban–rural transition shaping China’s demographic landscape from 2000 to 2020.</w:t>
      </w:r>
    </w:p>
    <w:p w14:paraId="317EACEB" w14:textId="77777777" w:rsidR="007D29B7" w:rsidRPr="00D91E57" w:rsidRDefault="00000000" w:rsidP="00D91E57">
      <w:pPr>
        <w:pStyle w:val="Heading2"/>
        <w:jc w:val="both"/>
        <w:rPr>
          <w:rFonts w:cstheme="majorHAnsi"/>
          <w:color w:val="000000" w:themeColor="text1"/>
          <w:sz w:val="24"/>
          <w:szCs w:val="24"/>
        </w:rPr>
      </w:pPr>
      <w:r w:rsidRPr="00D91E57">
        <w:rPr>
          <w:rFonts w:cstheme="majorHAnsi"/>
          <w:color w:val="000000" w:themeColor="text1"/>
          <w:sz w:val="24"/>
          <w:szCs w:val="24"/>
        </w:rPr>
        <w:t>Introduction</w:t>
      </w:r>
    </w:p>
    <w:p w14:paraId="63BC7AB3" w14:textId="77777777" w:rsidR="007D29B7" w:rsidRPr="00D91E57" w:rsidRDefault="00000000" w:rsidP="00D91E57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91E57">
        <w:rPr>
          <w:rFonts w:asciiTheme="majorHAnsi" w:hAnsiTheme="majorHAnsi" w:cstheme="majorHAnsi"/>
          <w:color w:val="000000" w:themeColor="text1"/>
          <w:sz w:val="24"/>
          <w:szCs w:val="24"/>
        </w:rPr>
        <w:t>Migration and urban expansion reshaped China’s demographics. This section explores population levels, gender balance, age profiles, employment structure, and the urban–rural distribution to understand how demographic forces influenced long</w:t>
      </w:r>
      <w:r w:rsidRPr="00D91E57">
        <w:rPr>
          <w:rFonts w:ascii="Cambria Math" w:hAnsi="Cambria Math" w:cs="Cambria Math"/>
          <w:color w:val="000000" w:themeColor="text1"/>
          <w:sz w:val="24"/>
          <w:szCs w:val="24"/>
        </w:rPr>
        <w:t>‑</w:t>
      </w:r>
      <w:r w:rsidRPr="00D91E57">
        <w:rPr>
          <w:rFonts w:asciiTheme="majorHAnsi" w:hAnsiTheme="majorHAnsi" w:cstheme="majorHAnsi"/>
          <w:color w:val="000000" w:themeColor="text1"/>
          <w:sz w:val="24"/>
          <w:szCs w:val="24"/>
        </w:rPr>
        <w:t>term development.</w:t>
      </w:r>
    </w:p>
    <w:p w14:paraId="50BC223B" w14:textId="77777777" w:rsidR="007D29B7" w:rsidRPr="00D91E57" w:rsidRDefault="00000000" w:rsidP="00D91E57">
      <w:pPr>
        <w:pStyle w:val="Heading2"/>
        <w:jc w:val="both"/>
        <w:rPr>
          <w:rFonts w:cstheme="majorHAnsi"/>
          <w:color w:val="000000" w:themeColor="text1"/>
          <w:sz w:val="24"/>
          <w:szCs w:val="24"/>
        </w:rPr>
      </w:pPr>
      <w:r w:rsidRPr="00D91E57">
        <w:rPr>
          <w:rFonts w:cstheme="majorHAnsi"/>
          <w:color w:val="000000" w:themeColor="text1"/>
          <w:sz w:val="24"/>
          <w:szCs w:val="24"/>
        </w:rPr>
        <w:t>Charts &amp; Narrative</w:t>
      </w:r>
    </w:p>
    <w:p w14:paraId="5C7A1F47" w14:textId="6D3D3E25" w:rsidR="007D29B7" w:rsidRPr="00D91E57" w:rsidRDefault="00000000" w:rsidP="00D91E57">
      <w:pPr>
        <w:pStyle w:val="ListBullet"/>
        <w:numPr>
          <w:ilvl w:val="0"/>
          <w:numId w:val="11"/>
        </w:num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91E57">
        <w:rPr>
          <w:rFonts w:asciiTheme="majorHAnsi" w:hAnsiTheme="majorHAnsi" w:cstheme="majorHAnsi"/>
          <w:color w:val="000000" w:themeColor="text1"/>
          <w:sz w:val="24"/>
          <w:szCs w:val="24"/>
        </w:rPr>
        <w:t>Birth &amp; Death Rates</w:t>
      </w:r>
    </w:p>
    <w:p w14:paraId="540ECB92" w14:textId="77777777" w:rsidR="007D29B7" w:rsidRPr="00D91E57" w:rsidRDefault="00000000" w:rsidP="00D91E57">
      <w:pPr>
        <w:pStyle w:val="ListBullet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91E57">
        <w:rPr>
          <w:rFonts w:asciiTheme="majorHAnsi" w:hAnsiTheme="majorHAnsi" w:cstheme="majorHAnsi"/>
          <w:color w:val="000000" w:themeColor="text1"/>
          <w:sz w:val="24"/>
          <w:szCs w:val="24"/>
        </w:rPr>
        <w:t>Dual</w:t>
      </w:r>
      <w:r w:rsidRPr="00D91E57">
        <w:rPr>
          <w:rFonts w:ascii="Cambria Math" w:hAnsi="Cambria Math" w:cs="Cambria Math"/>
          <w:color w:val="000000" w:themeColor="text1"/>
          <w:sz w:val="24"/>
          <w:szCs w:val="24"/>
        </w:rPr>
        <w:t>‑</w:t>
      </w:r>
      <w:r w:rsidRPr="00D91E57">
        <w:rPr>
          <w:rFonts w:asciiTheme="majorHAnsi" w:hAnsiTheme="majorHAnsi" w:cstheme="majorHAnsi"/>
          <w:color w:val="000000" w:themeColor="text1"/>
          <w:sz w:val="24"/>
          <w:szCs w:val="24"/>
        </w:rPr>
        <w:t>line chart: Birth rate vs death rate (per 1,000 people).</w:t>
      </w:r>
    </w:p>
    <w:p w14:paraId="56A485A4" w14:textId="77777777" w:rsidR="007D29B7" w:rsidRPr="00D91E57" w:rsidRDefault="00000000" w:rsidP="00D91E57">
      <w:pPr>
        <w:pStyle w:val="ListBullet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91E57">
        <w:rPr>
          <w:rFonts w:asciiTheme="majorHAnsi" w:hAnsiTheme="majorHAnsi" w:cstheme="majorHAnsi"/>
          <w:color w:val="000000" w:themeColor="text1"/>
          <w:sz w:val="24"/>
          <w:szCs w:val="24"/>
        </w:rPr>
        <w:t>Shows demographic transition with falling birth rates against stable mortality patterns.</w:t>
      </w:r>
    </w:p>
    <w:p w14:paraId="00A7CA1C" w14:textId="12954C17" w:rsidR="007D29B7" w:rsidRPr="00D91E57" w:rsidRDefault="00000000" w:rsidP="00D91E57">
      <w:pPr>
        <w:pStyle w:val="ListBullet"/>
        <w:numPr>
          <w:ilvl w:val="0"/>
          <w:numId w:val="11"/>
        </w:num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91E57">
        <w:rPr>
          <w:rFonts w:asciiTheme="majorHAnsi" w:hAnsiTheme="majorHAnsi" w:cstheme="majorHAnsi"/>
          <w:color w:val="000000" w:themeColor="text1"/>
          <w:sz w:val="24"/>
          <w:szCs w:val="24"/>
        </w:rPr>
        <w:t>Population Level &amp; Growth</w:t>
      </w:r>
    </w:p>
    <w:p w14:paraId="40014C5E" w14:textId="77777777" w:rsidR="007D29B7" w:rsidRPr="00D91E57" w:rsidRDefault="00000000" w:rsidP="00D91E57">
      <w:pPr>
        <w:pStyle w:val="ListBullet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91E57">
        <w:rPr>
          <w:rFonts w:asciiTheme="majorHAnsi" w:hAnsiTheme="majorHAnsi" w:cstheme="majorHAnsi"/>
          <w:color w:val="000000" w:themeColor="text1"/>
          <w:sz w:val="24"/>
          <w:szCs w:val="24"/>
        </w:rPr>
        <w:t>Dual</w:t>
      </w:r>
      <w:r w:rsidRPr="00D91E57">
        <w:rPr>
          <w:rFonts w:ascii="Cambria Math" w:hAnsi="Cambria Math" w:cs="Cambria Math"/>
          <w:color w:val="000000" w:themeColor="text1"/>
          <w:sz w:val="24"/>
          <w:szCs w:val="24"/>
        </w:rPr>
        <w:t>‑</w:t>
      </w:r>
      <w:r w:rsidRPr="00D91E57">
        <w:rPr>
          <w:rFonts w:asciiTheme="majorHAnsi" w:hAnsiTheme="majorHAnsi" w:cstheme="majorHAnsi"/>
          <w:color w:val="000000" w:themeColor="text1"/>
          <w:sz w:val="24"/>
          <w:szCs w:val="24"/>
        </w:rPr>
        <w:t>axis chart: total population (billions) &amp; annual growth rate (%).</w:t>
      </w:r>
    </w:p>
    <w:p w14:paraId="0CDB94D5" w14:textId="77777777" w:rsidR="007D29B7" w:rsidRPr="00D91E57" w:rsidRDefault="00000000" w:rsidP="00D91E57">
      <w:pPr>
        <w:pStyle w:val="ListBullet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91E57">
        <w:rPr>
          <w:rFonts w:asciiTheme="majorHAnsi" w:hAnsiTheme="majorHAnsi" w:cstheme="majorHAnsi"/>
          <w:color w:val="000000" w:themeColor="text1"/>
          <w:sz w:val="24"/>
          <w:szCs w:val="24"/>
        </w:rPr>
        <w:t>Highlights scale and declining population growth velocity.</w:t>
      </w:r>
    </w:p>
    <w:p w14:paraId="5EE976C9" w14:textId="25F32AFA" w:rsidR="007D29B7" w:rsidRPr="00D91E57" w:rsidRDefault="00000000" w:rsidP="00D91E57">
      <w:pPr>
        <w:pStyle w:val="ListBullet"/>
        <w:numPr>
          <w:ilvl w:val="0"/>
          <w:numId w:val="11"/>
        </w:num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91E57">
        <w:rPr>
          <w:rFonts w:asciiTheme="majorHAnsi" w:hAnsiTheme="majorHAnsi" w:cstheme="majorHAnsi"/>
          <w:color w:val="000000" w:themeColor="text1"/>
          <w:sz w:val="24"/>
          <w:szCs w:val="24"/>
        </w:rPr>
        <w:t>Gender Structure</w:t>
      </w:r>
    </w:p>
    <w:p w14:paraId="3D7EDAD5" w14:textId="77777777" w:rsidR="007D29B7" w:rsidRPr="00D91E57" w:rsidRDefault="00000000" w:rsidP="00D91E57">
      <w:pPr>
        <w:pStyle w:val="ListBullet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91E57">
        <w:rPr>
          <w:rFonts w:asciiTheme="majorHAnsi" w:hAnsiTheme="majorHAnsi" w:cstheme="majorHAnsi"/>
          <w:color w:val="000000" w:themeColor="text1"/>
          <w:sz w:val="24"/>
          <w:szCs w:val="24"/>
        </w:rPr>
        <w:t>Sex ratio (male/female) &amp; sex ratio at birth vs 1.05 benchmark.</w:t>
      </w:r>
    </w:p>
    <w:p w14:paraId="469DE0BD" w14:textId="77777777" w:rsidR="007D29B7" w:rsidRPr="00D91E57" w:rsidRDefault="00000000" w:rsidP="00D91E57">
      <w:pPr>
        <w:pStyle w:val="ListBullet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91E57">
        <w:rPr>
          <w:rFonts w:asciiTheme="majorHAnsi" w:hAnsiTheme="majorHAnsi" w:cstheme="majorHAnsi"/>
          <w:color w:val="000000" w:themeColor="text1"/>
          <w:sz w:val="24"/>
          <w:szCs w:val="24"/>
        </w:rPr>
        <w:t>Gradual normalization over time with historical imbalance legacies.</w:t>
      </w:r>
    </w:p>
    <w:p w14:paraId="31C397D1" w14:textId="4D46E157" w:rsidR="007D29B7" w:rsidRPr="00D91E57" w:rsidRDefault="00000000" w:rsidP="00D91E57">
      <w:pPr>
        <w:pStyle w:val="ListBullet"/>
        <w:numPr>
          <w:ilvl w:val="0"/>
          <w:numId w:val="11"/>
        </w:num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91E57">
        <w:rPr>
          <w:rFonts w:asciiTheme="majorHAnsi" w:hAnsiTheme="majorHAnsi" w:cstheme="majorHAnsi"/>
          <w:color w:val="000000" w:themeColor="text1"/>
          <w:sz w:val="24"/>
          <w:szCs w:val="24"/>
        </w:rPr>
        <w:t>Age Structure &amp; Median Age</w:t>
      </w:r>
    </w:p>
    <w:p w14:paraId="37A3E8A5" w14:textId="77777777" w:rsidR="007D29B7" w:rsidRPr="00D91E57" w:rsidRDefault="00000000" w:rsidP="00D91E57">
      <w:pPr>
        <w:pStyle w:val="ListBullet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91E57">
        <w:rPr>
          <w:rFonts w:asciiTheme="majorHAnsi" w:hAnsiTheme="majorHAnsi" w:cstheme="majorHAnsi"/>
          <w:color w:val="000000" w:themeColor="text1"/>
          <w:sz w:val="24"/>
          <w:szCs w:val="24"/>
        </w:rPr>
        <w:t>Stacked area: 0–14, 15–64, 65+ population shares.</w:t>
      </w:r>
    </w:p>
    <w:p w14:paraId="2620D2DE" w14:textId="77777777" w:rsidR="007D29B7" w:rsidRPr="00D91E57" w:rsidRDefault="00000000" w:rsidP="00D91E57">
      <w:pPr>
        <w:pStyle w:val="ListBullet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91E57">
        <w:rPr>
          <w:rFonts w:asciiTheme="majorHAnsi" w:hAnsiTheme="majorHAnsi" w:cstheme="majorHAnsi"/>
          <w:color w:val="000000" w:themeColor="text1"/>
          <w:sz w:val="24"/>
          <w:szCs w:val="24"/>
        </w:rPr>
        <w:t>Line: median age — captures aging and shrinking working</w:t>
      </w:r>
      <w:r w:rsidRPr="00D91E57">
        <w:rPr>
          <w:rFonts w:ascii="Cambria Math" w:hAnsi="Cambria Math" w:cs="Cambria Math"/>
          <w:color w:val="000000" w:themeColor="text1"/>
          <w:sz w:val="24"/>
          <w:szCs w:val="24"/>
        </w:rPr>
        <w:t>‑</w:t>
      </w:r>
      <w:r w:rsidRPr="00D91E57">
        <w:rPr>
          <w:rFonts w:asciiTheme="majorHAnsi" w:hAnsiTheme="majorHAnsi" w:cstheme="majorHAnsi"/>
          <w:color w:val="000000" w:themeColor="text1"/>
          <w:sz w:val="24"/>
          <w:szCs w:val="24"/>
        </w:rPr>
        <w:t>age cohort.</w:t>
      </w:r>
    </w:p>
    <w:p w14:paraId="544648B8" w14:textId="17042F3E" w:rsidR="007D29B7" w:rsidRPr="00D91E57" w:rsidRDefault="00000000" w:rsidP="00D91E57">
      <w:pPr>
        <w:pStyle w:val="ListBullet"/>
        <w:numPr>
          <w:ilvl w:val="0"/>
          <w:numId w:val="11"/>
        </w:num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91E57">
        <w:rPr>
          <w:rFonts w:asciiTheme="majorHAnsi" w:hAnsiTheme="majorHAnsi" w:cstheme="majorHAnsi"/>
          <w:color w:val="000000" w:themeColor="text1"/>
          <w:sz w:val="24"/>
          <w:szCs w:val="24"/>
        </w:rPr>
        <w:t>Employment &amp; Unemployment</w:t>
      </w:r>
    </w:p>
    <w:p w14:paraId="27608BEB" w14:textId="77777777" w:rsidR="007D29B7" w:rsidRPr="00D91E57" w:rsidRDefault="00000000" w:rsidP="00D91E57">
      <w:pPr>
        <w:pStyle w:val="ListBullet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91E57">
        <w:rPr>
          <w:rFonts w:asciiTheme="majorHAnsi" w:hAnsiTheme="majorHAnsi" w:cstheme="majorHAnsi"/>
          <w:color w:val="000000" w:themeColor="text1"/>
          <w:sz w:val="24"/>
          <w:szCs w:val="24"/>
        </w:rPr>
        <w:t>Sector</w:t>
      </w:r>
      <w:r w:rsidRPr="00D91E57">
        <w:rPr>
          <w:rFonts w:ascii="Cambria Math" w:hAnsi="Cambria Math" w:cs="Cambria Math"/>
          <w:color w:val="000000" w:themeColor="text1"/>
          <w:sz w:val="24"/>
          <w:szCs w:val="24"/>
        </w:rPr>
        <w:t>‑</w:t>
      </w:r>
      <w:r w:rsidRPr="00D91E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based employment shares: agriculture </w:t>
      </w:r>
      <w:r w:rsidRPr="00D91E57">
        <w:rPr>
          <w:rFonts w:ascii="Calibri" w:hAnsi="Calibri" w:cs="Calibri"/>
          <w:color w:val="000000" w:themeColor="text1"/>
          <w:sz w:val="24"/>
          <w:szCs w:val="24"/>
        </w:rPr>
        <w:t>→</w:t>
      </w:r>
      <w:r w:rsidRPr="00D91E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industry </w:t>
      </w:r>
      <w:r w:rsidRPr="00D91E57">
        <w:rPr>
          <w:rFonts w:ascii="Calibri" w:hAnsi="Calibri" w:cs="Calibri"/>
          <w:color w:val="000000" w:themeColor="text1"/>
          <w:sz w:val="24"/>
          <w:szCs w:val="24"/>
        </w:rPr>
        <w:t>→</w:t>
      </w:r>
      <w:r w:rsidRPr="00D91E5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services.</w:t>
      </w:r>
    </w:p>
    <w:p w14:paraId="3DE47E61" w14:textId="77777777" w:rsidR="007D29B7" w:rsidRPr="00D91E57" w:rsidRDefault="00000000" w:rsidP="00D91E57">
      <w:pPr>
        <w:pStyle w:val="ListBullet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91E57">
        <w:rPr>
          <w:rFonts w:asciiTheme="majorHAnsi" w:hAnsiTheme="majorHAnsi" w:cstheme="majorHAnsi"/>
          <w:color w:val="000000" w:themeColor="text1"/>
          <w:sz w:val="24"/>
          <w:szCs w:val="24"/>
        </w:rPr>
        <w:t>Unemployment rates by gender to reveal labor</w:t>
      </w:r>
      <w:r w:rsidRPr="00D91E57">
        <w:rPr>
          <w:rFonts w:ascii="Cambria Math" w:hAnsi="Cambria Math" w:cs="Cambria Math"/>
          <w:color w:val="000000" w:themeColor="text1"/>
          <w:sz w:val="24"/>
          <w:szCs w:val="24"/>
        </w:rPr>
        <w:t>‑</w:t>
      </w:r>
      <w:r w:rsidRPr="00D91E57">
        <w:rPr>
          <w:rFonts w:asciiTheme="majorHAnsi" w:hAnsiTheme="majorHAnsi" w:cstheme="majorHAnsi"/>
          <w:color w:val="000000" w:themeColor="text1"/>
          <w:sz w:val="24"/>
          <w:szCs w:val="24"/>
        </w:rPr>
        <w:t>market dynamics.</w:t>
      </w:r>
    </w:p>
    <w:p w14:paraId="01D11813" w14:textId="20380B20" w:rsidR="007D29B7" w:rsidRPr="00D91E57" w:rsidRDefault="00000000" w:rsidP="00D91E57">
      <w:pPr>
        <w:pStyle w:val="ListBullet"/>
        <w:numPr>
          <w:ilvl w:val="0"/>
          <w:numId w:val="11"/>
        </w:num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91E57">
        <w:rPr>
          <w:rFonts w:asciiTheme="majorHAnsi" w:hAnsiTheme="majorHAnsi" w:cstheme="majorHAnsi"/>
          <w:color w:val="000000" w:themeColor="text1"/>
          <w:sz w:val="24"/>
          <w:szCs w:val="24"/>
        </w:rPr>
        <w:t>Urban vs Rural Distribution</w:t>
      </w:r>
    </w:p>
    <w:p w14:paraId="4D95334B" w14:textId="77777777" w:rsidR="007D29B7" w:rsidRPr="00D91E57" w:rsidRDefault="00000000" w:rsidP="00D91E57">
      <w:pPr>
        <w:pStyle w:val="ListBullet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91E57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>Area chart: urban vs rural population shares.</w:t>
      </w:r>
    </w:p>
    <w:p w14:paraId="6FDDAC65" w14:textId="77777777" w:rsidR="007D29B7" w:rsidRPr="00D91E57" w:rsidRDefault="00000000" w:rsidP="00D91E57">
      <w:pPr>
        <w:pStyle w:val="ListBullet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91E57">
        <w:rPr>
          <w:rFonts w:asciiTheme="majorHAnsi" w:hAnsiTheme="majorHAnsi" w:cstheme="majorHAnsi"/>
          <w:color w:val="000000" w:themeColor="text1"/>
          <w:sz w:val="24"/>
          <w:szCs w:val="24"/>
        </w:rPr>
        <w:t>Continuous rise in urban share, declining rural population.</w:t>
      </w:r>
    </w:p>
    <w:p w14:paraId="262BA1F8" w14:textId="26F29063" w:rsidR="007D29B7" w:rsidRPr="00D91E57" w:rsidRDefault="00000000" w:rsidP="00D91E57">
      <w:pPr>
        <w:pStyle w:val="ListBullet"/>
        <w:numPr>
          <w:ilvl w:val="0"/>
          <w:numId w:val="11"/>
        </w:num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91E57">
        <w:rPr>
          <w:rFonts w:asciiTheme="majorHAnsi" w:hAnsiTheme="majorHAnsi" w:cstheme="majorHAnsi"/>
          <w:color w:val="000000" w:themeColor="text1"/>
          <w:sz w:val="24"/>
          <w:szCs w:val="24"/>
        </w:rPr>
        <w:t>Megacities Share</w:t>
      </w:r>
    </w:p>
    <w:p w14:paraId="72F1638F" w14:textId="77777777" w:rsidR="007D29B7" w:rsidRPr="00D91E57" w:rsidRDefault="00000000" w:rsidP="00D91E57">
      <w:pPr>
        <w:pStyle w:val="ListBullet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91E57">
        <w:rPr>
          <w:rFonts w:asciiTheme="majorHAnsi" w:hAnsiTheme="majorHAnsi" w:cstheme="majorHAnsi"/>
          <w:color w:val="000000" w:themeColor="text1"/>
          <w:sz w:val="24"/>
          <w:szCs w:val="24"/>
        </w:rPr>
        <w:t>Line chart: share of population living in megacities.</w:t>
      </w:r>
    </w:p>
    <w:p w14:paraId="31855531" w14:textId="77777777" w:rsidR="007D29B7" w:rsidRPr="00D91E57" w:rsidRDefault="00000000" w:rsidP="00D91E57">
      <w:pPr>
        <w:pStyle w:val="ListBullet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91E57">
        <w:rPr>
          <w:rFonts w:asciiTheme="majorHAnsi" w:hAnsiTheme="majorHAnsi" w:cstheme="majorHAnsi"/>
          <w:color w:val="000000" w:themeColor="text1"/>
          <w:sz w:val="24"/>
          <w:szCs w:val="24"/>
        </w:rPr>
        <w:t>Complements national urbanization story with concentration trends.</w:t>
      </w:r>
    </w:p>
    <w:p w14:paraId="63221689" w14:textId="77777777" w:rsidR="007D29B7" w:rsidRPr="00D91E57" w:rsidRDefault="00000000" w:rsidP="00D91E57">
      <w:pPr>
        <w:pStyle w:val="Heading2"/>
        <w:jc w:val="both"/>
        <w:rPr>
          <w:rFonts w:cstheme="majorHAnsi"/>
          <w:color w:val="000000" w:themeColor="text1"/>
          <w:sz w:val="24"/>
          <w:szCs w:val="24"/>
        </w:rPr>
      </w:pPr>
      <w:r w:rsidRPr="00D91E57">
        <w:rPr>
          <w:rFonts w:cstheme="majorHAnsi"/>
          <w:color w:val="000000" w:themeColor="text1"/>
          <w:sz w:val="24"/>
          <w:szCs w:val="24"/>
        </w:rPr>
        <w:t>Conclusion</w:t>
      </w:r>
    </w:p>
    <w:p w14:paraId="2DC76887" w14:textId="77777777" w:rsidR="007D29B7" w:rsidRPr="00D91E57" w:rsidRDefault="00000000" w:rsidP="00D91E57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91E57">
        <w:rPr>
          <w:rFonts w:asciiTheme="majorHAnsi" w:hAnsiTheme="majorHAnsi" w:cstheme="majorHAnsi"/>
          <w:color w:val="000000" w:themeColor="text1"/>
          <w:sz w:val="24"/>
          <w:szCs w:val="24"/>
        </w:rPr>
        <w:t>China’s demographic pattern between 2000 and 2020 reveals declining birth rates, stable mortality, and significant aging. Urbanization accelerated markedly, employment shifted from agriculture to services, and population concentration in megacities increased — marking a transition toward a mature, urban economy.</w:t>
      </w:r>
    </w:p>
    <w:p w14:paraId="5601C5F4" w14:textId="77777777" w:rsidR="007D29B7" w:rsidRPr="00D91E57" w:rsidRDefault="00000000" w:rsidP="00D91E57">
      <w:pPr>
        <w:pStyle w:val="Heading2"/>
        <w:jc w:val="both"/>
        <w:rPr>
          <w:rFonts w:cstheme="majorHAnsi"/>
          <w:color w:val="000000" w:themeColor="text1"/>
          <w:sz w:val="24"/>
          <w:szCs w:val="24"/>
        </w:rPr>
      </w:pPr>
      <w:r w:rsidRPr="00D91E57">
        <w:rPr>
          <w:rFonts w:cstheme="majorHAnsi"/>
          <w:color w:val="000000" w:themeColor="text1"/>
          <w:sz w:val="24"/>
          <w:szCs w:val="24"/>
        </w:rPr>
        <w:t>Design &amp; Interaction Notes</w:t>
      </w:r>
    </w:p>
    <w:p w14:paraId="1D140359" w14:textId="772A5B36" w:rsidR="007D29B7" w:rsidRPr="00D91E57" w:rsidRDefault="00000000" w:rsidP="00D91E57">
      <w:pPr>
        <w:pStyle w:val="ListBullet"/>
        <w:numPr>
          <w:ilvl w:val="0"/>
          <w:numId w:val="12"/>
        </w:num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91E57">
        <w:rPr>
          <w:rFonts w:asciiTheme="majorHAnsi" w:hAnsiTheme="majorHAnsi" w:cstheme="majorHAnsi"/>
          <w:color w:val="000000" w:themeColor="text1"/>
          <w:sz w:val="24"/>
          <w:szCs w:val="24"/>
        </w:rPr>
        <w:t>Period filter (All, 2000–2010, 2011–2020) to compare demographic phases.</w:t>
      </w:r>
    </w:p>
    <w:p w14:paraId="23D141C7" w14:textId="77777777" w:rsidR="007D29B7" w:rsidRPr="00D91E57" w:rsidRDefault="00000000" w:rsidP="00D91E57">
      <w:pPr>
        <w:pStyle w:val="ListBullet"/>
        <w:numPr>
          <w:ilvl w:val="0"/>
          <w:numId w:val="12"/>
        </w:num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91E57">
        <w:rPr>
          <w:rFonts w:asciiTheme="majorHAnsi" w:hAnsiTheme="majorHAnsi" w:cstheme="majorHAnsi"/>
          <w:color w:val="000000" w:themeColor="text1"/>
          <w:sz w:val="24"/>
          <w:szCs w:val="24"/>
        </w:rPr>
        <w:t>Clean legends and reference lines for interpretability.</w:t>
      </w:r>
    </w:p>
    <w:p w14:paraId="2DD53DF8" w14:textId="77777777" w:rsidR="007D29B7" w:rsidRPr="00D91E57" w:rsidRDefault="00000000" w:rsidP="00D91E57">
      <w:pPr>
        <w:pStyle w:val="ListBullet"/>
        <w:numPr>
          <w:ilvl w:val="0"/>
          <w:numId w:val="12"/>
        </w:num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91E57">
        <w:rPr>
          <w:rFonts w:asciiTheme="majorHAnsi" w:hAnsiTheme="majorHAnsi" w:cstheme="majorHAnsi"/>
          <w:color w:val="000000" w:themeColor="text1"/>
          <w:sz w:val="24"/>
          <w:szCs w:val="24"/>
        </w:rPr>
        <w:t>Consistent axis formats and clear demographic cohort coloring.</w:t>
      </w:r>
    </w:p>
    <w:sectPr w:rsidR="007D29B7" w:rsidRPr="00D91E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5D481F"/>
    <w:multiLevelType w:val="hybridMultilevel"/>
    <w:tmpl w:val="526C9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2373E3"/>
    <w:multiLevelType w:val="hybridMultilevel"/>
    <w:tmpl w:val="F99ED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07AF7"/>
    <w:multiLevelType w:val="hybridMultilevel"/>
    <w:tmpl w:val="FAB6A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360066">
    <w:abstractNumId w:val="8"/>
  </w:num>
  <w:num w:numId="2" w16cid:durableId="250551251">
    <w:abstractNumId w:val="6"/>
  </w:num>
  <w:num w:numId="3" w16cid:durableId="1976642590">
    <w:abstractNumId w:val="5"/>
  </w:num>
  <w:num w:numId="4" w16cid:durableId="1166245119">
    <w:abstractNumId w:val="4"/>
  </w:num>
  <w:num w:numId="5" w16cid:durableId="762801296">
    <w:abstractNumId w:val="7"/>
  </w:num>
  <w:num w:numId="6" w16cid:durableId="1360205427">
    <w:abstractNumId w:val="3"/>
  </w:num>
  <w:num w:numId="7" w16cid:durableId="1478958864">
    <w:abstractNumId w:val="2"/>
  </w:num>
  <w:num w:numId="8" w16cid:durableId="915363579">
    <w:abstractNumId w:val="1"/>
  </w:num>
  <w:num w:numId="9" w16cid:durableId="963930116">
    <w:abstractNumId w:val="0"/>
  </w:num>
  <w:num w:numId="10" w16cid:durableId="1623539682">
    <w:abstractNumId w:val="11"/>
  </w:num>
  <w:num w:numId="11" w16cid:durableId="38936597">
    <w:abstractNumId w:val="10"/>
  </w:num>
  <w:num w:numId="12" w16cid:durableId="1843663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29B7"/>
    <w:rsid w:val="00AA1D8D"/>
    <w:rsid w:val="00AB0875"/>
    <w:rsid w:val="00B47730"/>
    <w:rsid w:val="00CB0664"/>
    <w:rsid w:val="00D91E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AB70DC"/>
  <w14:defaultImageDpi w14:val="300"/>
  <w15:docId w15:val="{92DAB3B4-91D7-413C-BEB4-46AFDA46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Linh Nguyen Van</cp:lastModifiedBy>
  <cp:revision>3</cp:revision>
  <dcterms:created xsi:type="dcterms:W3CDTF">2013-12-23T23:15:00Z</dcterms:created>
  <dcterms:modified xsi:type="dcterms:W3CDTF">2025-10-30T14:20:00Z</dcterms:modified>
  <cp:category/>
</cp:coreProperties>
</file>