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4D8A" w14:textId="2D9E8FB1" w:rsidR="000F5DE8" w:rsidRPr="00C065E8" w:rsidRDefault="00C065E8" w:rsidP="00C065E8">
      <w:pPr>
        <w:pStyle w:val="Heading1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Page 3. </w:t>
      </w:r>
      <w:r w:rsidR="00000000" w:rsidRPr="00C065E8">
        <w:rPr>
          <w:rFonts w:cstheme="majorHAnsi"/>
          <w:color w:val="000000" w:themeColor="text1"/>
        </w:rPr>
        <w:t>Environment &amp; Energy</w:t>
      </w:r>
    </w:p>
    <w:p w14:paraId="7FC09A25" w14:textId="77777777" w:rsidR="000F5DE8" w:rsidRPr="00C065E8" w:rsidRDefault="00000000" w:rsidP="00C065E8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C065E8">
        <w:rPr>
          <w:rFonts w:cstheme="majorHAnsi"/>
          <w:color w:val="000000" w:themeColor="text1"/>
          <w:sz w:val="24"/>
          <w:szCs w:val="24"/>
        </w:rPr>
        <w:t>Objective</w:t>
      </w:r>
    </w:p>
    <w:p w14:paraId="1AE676AE" w14:textId="77777777" w:rsidR="000F5DE8" w:rsidRPr="00C065E8" w:rsidRDefault="00000000" w:rsidP="00C065E8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Track emissions, energy composition, air quality, land and forest resources, water sustainability, and environmental economics to illustrate China’s energy transition and environmental improvement from 2000 to 2020.</w:t>
      </w:r>
    </w:p>
    <w:p w14:paraId="1663A0CB" w14:textId="77777777" w:rsidR="000F5DE8" w:rsidRPr="00C065E8" w:rsidRDefault="00000000" w:rsidP="00C065E8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C065E8">
        <w:rPr>
          <w:rFonts w:cstheme="majorHAnsi"/>
          <w:color w:val="000000" w:themeColor="text1"/>
          <w:sz w:val="24"/>
          <w:szCs w:val="24"/>
        </w:rPr>
        <w:t>Introduction</w:t>
      </w:r>
    </w:p>
    <w:p w14:paraId="071C4C57" w14:textId="77777777" w:rsidR="000F5DE8" w:rsidRPr="00C065E8" w:rsidRDefault="00000000" w:rsidP="00C065E8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China’s rapid growth reshaped its environmental and energy profile. This section examines greenhouse gas emissions, energy mix, air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quality improvement, forest recovery, water pressures, and policy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driven sustainability efforts across two decades.</w:t>
      </w:r>
    </w:p>
    <w:p w14:paraId="63A948BF" w14:textId="77777777" w:rsidR="000F5DE8" w:rsidRPr="00C065E8" w:rsidRDefault="00000000" w:rsidP="00C065E8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C065E8">
        <w:rPr>
          <w:rFonts w:cstheme="majorHAnsi"/>
          <w:color w:val="000000" w:themeColor="text1"/>
          <w:sz w:val="24"/>
          <w:szCs w:val="24"/>
        </w:rPr>
        <w:t>Charts &amp; Narrative</w:t>
      </w:r>
    </w:p>
    <w:p w14:paraId="7058A87E" w14:textId="6ED47EF1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Greenhouse Gas Emissions</w:t>
      </w:r>
    </w:p>
    <w:p w14:paraId="1444D333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Panel A: Total GHG emissions (Gt CO₂e) with key policies (Kyoto, post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2010 pivot).</w:t>
      </w:r>
    </w:p>
    <w:p w14:paraId="2F6714E2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Panel B: CO₂ per capita vs GDP per capita — income–emission relationship over time.</w:t>
      </w:r>
    </w:p>
    <w:p w14:paraId="2098F546" w14:textId="5E2BD9C1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Emissions Composition</w:t>
      </w:r>
    </w:p>
    <w:p w14:paraId="270649BC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Stacked area: CO₂, CH₄, N₂O — CO₂ as dominant driver with secondary gases contributing modestly.</w:t>
      </w:r>
    </w:p>
    <w:p w14:paraId="374779D4" w14:textId="57E8CD9A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Energy Structure</w:t>
      </w:r>
    </w:p>
    <w:p w14:paraId="4C198D43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Electricity mix overtime — Coal, Gas, Nuclear, Hydro, Renewables.</w:t>
      </w:r>
    </w:p>
    <w:p w14:paraId="0B4D159D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2020 snapshot pie separating Hydro vs other renewables — diversification and clean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energy rise.</w:t>
      </w:r>
    </w:p>
    <w:p w14:paraId="2742EC72" w14:textId="31719687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Renewable Energy Scaling</w:t>
      </w:r>
    </w:p>
    <w:p w14:paraId="4D75A509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Renewable power share line with policy markers (Blue Sky Plan 2013, Paris 2015) — steep growth in 2010s.</w:t>
      </w:r>
    </w:p>
    <w:p w14:paraId="35491905" w14:textId="2BDFC166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Air Quality</w:t>
      </w:r>
    </w:p>
    <w:p w14:paraId="5051AAFC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PM2.5 trend vs WHO/China guidelines; policy cycle around 2013–2018.</w:t>
      </w:r>
    </w:p>
    <w:p w14:paraId="68195B0A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Box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point comparison pre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vs post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2015 </w:t>
      </w:r>
      <w:r w:rsidRPr="00C065E8">
        <w:rPr>
          <w:rFonts w:ascii="Calibri" w:hAnsi="Calibri" w:cs="Calibri"/>
          <w:color w:val="000000" w:themeColor="text1"/>
          <w:sz w:val="24"/>
          <w:szCs w:val="24"/>
        </w:rPr>
        <w:t>—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cleaner air distribution shift.</w:t>
      </w:r>
    </w:p>
    <w:p w14:paraId="2FC67224" w14:textId="66C958FB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Forest &amp; Land Resources</w:t>
      </w:r>
    </w:p>
    <w:p w14:paraId="6B158AF2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Forest cover (% land) rising — reforestation efforts.</w:t>
      </w:r>
    </w:p>
    <w:p w14:paraId="348044C6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2020 land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use pie: Agricultural, Arable, Forest, Other.</w:t>
      </w:r>
    </w:p>
    <w:p w14:paraId="37DB3845" w14:textId="58FC6B1E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Water Resources</w:t>
      </w:r>
    </w:p>
    <w:p w14:paraId="700A8ED2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Water stress index trend with reference bands.</w:t>
      </w:r>
    </w:p>
    <w:p w14:paraId="601613BC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2020 water use pie: Agriculture, Industry, Domestic.</w:t>
      </w:r>
    </w:p>
    <w:p w14:paraId="4A000078" w14:textId="2CC7BF06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Environmental Economics</w:t>
      </w:r>
    </w:p>
    <w:p w14:paraId="7D1EC804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Stacked costs (% GNI): CO₂, PM, energy depletion — long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term decline.</w:t>
      </w:r>
    </w:p>
    <w:p w14:paraId="20EC4C26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Adjusted net savings improving — strengthening green capital.</w:t>
      </w:r>
    </w:p>
    <w:p w14:paraId="243209AD" w14:textId="3C6E51CB" w:rsidR="000F5DE8" w:rsidRPr="00C065E8" w:rsidRDefault="00000000" w:rsidP="00EE1BCC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Environmental Performance Index</w:t>
      </w:r>
    </w:p>
    <w:p w14:paraId="2EA9EA58" w14:textId="77777777" w:rsidR="000F5DE8" w:rsidRPr="00C065E8" w:rsidRDefault="00000000" w:rsidP="00C065E8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Composite: normalized CO₂ pc (inverted), PM2.5 (inverted), renewable share — steady improvement.</w:t>
      </w:r>
    </w:p>
    <w:p w14:paraId="47900A29" w14:textId="77777777" w:rsidR="000F5DE8" w:rsidRPr="00C065E8" w:rsidRDefault="00000000" w:rsidP="00C065E8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C065E8">
        <w:rPr>
          <w:rFonts w:cstheme="majorHAnsi"/>
          <w:color w:val="000000" w:themeColor="text1"/>
          <w:sz w:val="24"/>
          <w:szCs w:val="24"/>
        </w:rPr>
        <w:t>Conclusion</w:t>
      </w:r>
    </w:p>
    <w:p w14:paraId="7BE298B7" w14:textId="77777777" w:rsidR="000F5DE8" w:rsidRPr="00C065E8" w:rsidRDefault="00000000" w:rsidP="00C065E8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Between 2000 and 2020, China reduced coal dependence, expanded renewables, and improved air quality following aggressive policy actions after 2013. Forest cover increased, environmental costs fell, and energy efficiency advanced — though water stress remains a major constraint.</w:t>
      </w:r>
    </w:p>
    <w:p w14:paraId="3F098BCF" w14:textId="77777777" w:rsidR="000F5DE8" w:rsidRPr="00C065E8" w:rsidRDefault="00000000" w:rsidP="00C065E8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C065E8">
        <w:rPr>
          <w:rFonts w:cstheme="majorHAnsi"/>
          <w:color w:val="000000" w:themeColor="text1"/>
          <w:sz w:val="24"/>
          <w:szCs w:val="24"/>
        </w:rPr>
        <w:t>Design &amp; Interaction Notes</w:t>
      </w:r>
    </w:p>
    <w:p w14:paraId="6C454A41" w14:textId="3B8E45F3" w:rsidR="000F5DE8" w:rsidRPr="00C065E8" w:rsidRDefault="00000000" w:rsidP="00EE1BCC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Decade filters for comparison (2000s vs 2010s).</w:t>
      </w:r>
    </w:p>
    <w:p w14:paraId="393E9973" w14:textId="77777777" w:rsidR="000F5DE8" w:rsidRPr="00C065E8" w:rsidRDefault="00000000" w:rsidP="00EE1BCC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Subdued green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blue</w:t>
      </w:r>
      <w:r w:rsidRPr="00C065E8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gray palette for environmental tone.</w:t>
      </w:r>
    </w:p>
    <w:p w14:paraId="319191BE" w14:textId="77777777" w:rsidR="000F5DE8" w:rsidRPr="00C065E8" w:rsidRDefault="00000000" w:rsidP="00EE1BCC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Policy event markers and threshold lines to clarify context.</w:t>
      </w:r>
    </w:p>
    <w:p w14:paraId="3890EC02" w14:textId="77777777" w:rsidR="000F5DE8" w:rsidRPr="00C065E8" w:rsidRDefault="00000000" w:rsidP="00EE1BCC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65E8">
        <w:rPr>
          <w:rFonts w:asciiTheme="majorHAnsi" w:hAnsiTheme="majorHAnsi" w:cstheme="majorHAnsi"/>
          <w:color w:val="000000" w:themeColor="text1"/>
          <w:sz w:val="24"/>
          <w:szCs w:val="24"/>
        </w:rPr>
        <w:t>Consistent margins and clean visual hierarchy.</w:t>
      </w:r>
    </w:p>
    <w:sectPr w:rsidR="000F5DE8" w:rsidRPr="00C06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B20E52"/>
    <w:multiLevelType w:val="hybridMultilevel"/>
    <w:tmpl w:val="9F86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12FC"/>
    <w:multiLevelType w:val="hybridMultilevel"/>
    <w:tmpl w:val="3224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4086">
    <w:abstractNumId w:val="8"/>
  </w:num>
  <w:num w:numId="2" w16cid:durableId="1398045723">
    <w:abstractNumId w:val="6"/>
  </w:num>
  <w:num w:numId="3" w16cid:durableId="1235700258">
    <w:abstractNumId w:val="5"/>
  </w:num>
  <w:num w:numId="4" w16cid:durableId="1710297560">
    <w:abstractNumId w:val="4"/>
  </w:num>
  <w:num w:numId="5" w16cid:durableId="124668462">
    <w:abstractNumId w:val="7"/>
  </w:num>
  <w:num w:numId="6" w16cid:durableId="280039434">
    <w:abstractNumId w:val="3"/>
  </w:num>
  <w:num w:numId="7" w16cid:durableId="2019457575">
    <w:abstractNumId w:val="2"/>
  </w:num>
  <w:num w:numId="8" w16cid:durableId="435753008">
    <w:abstractNumId w:val="1"/>
  </w:num>
  <w:num w:numId="9" w16cid:durableId="1609124668">
    <w:abstractNumId w:val="0"/>
  </w:num>
  <w:num w:numId="10" w16cid:durableId="898784240">
    <w:abstractNumId w:val="9"/>
  </w:num>
  <w:num w:numId="11" w16cid:durableId="1103453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DE8"/>
    <w:rsid w:val="0015074B"/>
    <w:rsid w:val="0029639D"/>
    <w:rsid w:val="00326F90"/>
    <w:rsid w:val="00AA1D8D"/>
    <w:rsid w:val="00B47730"/>
    <w:rsid w:val="00C065E8"/>
    <w:rsid w:val="00CB0664"/>
    <w:rsid w:val="00EE1B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2FD5E"/>
  <w14:defaultImageDpi w14:val="300"/>
  <w15:docId w15:val="{92DAB3B4-91D7-413C-BEB4-46AFDA46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Linh Nguyen Van</cp:lastModifiedBy>
  <cp:revision>3</cp:revision>
  <dcterms:created xsi:type="dcterms:W3CDTF">2013-12-23T23:15:00Z</dcterms:created>
  <dcterms:modified xsi:type="dcterms:W3CDTF">2025-10-30T14:22:00Z</dcterms:modified>
  <cp:category/>
</cp:coreProperties>
</file>