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COUR D'APPEL DE LIÈGE</w:t>
      </w:r>
    </w:p>
    <w:p>
      <w:pPr>
        <w:jc w:val="center"/>
      </w:pPr>
      <w:r>
        <w:t>Chambre de la famille (10e chambre)</w:t>
      </w:r>
    </w:p>
    <w:p>
      <w:pPr>
        <w:jc w:val="center"/>
      </w:pPr>
      <w:r>
        <w:t>CONCLUSIONS DE SYNTHÈSE</w:t>
      </w:r>
    </w:p>
    <w:p>
      <w:r>
        <w:t>POUR : Madame Véronique HENROTTE, née le 14/06/1975, domiciliée Rue Saint-Gilles 120, 4000 Liège, appelante, ayant pour conseil Me Isabelle LECLERCQ, avocate.</w:t>
      </w:r>
    </w:p>
    <w:p>
      <w:r>
        <w:t>CONTRE : Monsieur Patrick GILSON, RN 75.06.14-002.31, intimé, ayant pour conseil Me Marc-Antoine DE WOLF, avocat, dont le cabinet est établi Boulevard d'Avroy 38, 4000 Liège.</w:t>
      </w:r>
    </w:p>
    <w:p>
      <w:pPr>
        <w:pStyle w:val="Heading1"/>
      </w:pPr>
      <w:r>
        <w:t>I. Les faits</w:t>
      </w:r>
    </w:p>
    <w:p>
      <w:pPr>
        <w:pStyle w:val="ListNumber"/>
      </w:pPr>
      <w:r>
        <w:t>Les parties ont vécu ensemble de 2008 à 2021. De leur relation est née Chloé GILSON, le 12 mai 2010.</w:t>
      </w:r>
    </w:p>
    <w:p>
      <w:pPr>
        <w:pStyle w:val="ListNumber"/>
      </w:pPr>
      <w:r>
        <w:t>Depuis la séparation, l'enfant réside chez sa mère à Liège. Monsieur GILSON travaille pour la SA Ethias et perçoit un revenu net de 3.150 euros par mois.</w:t>
      </w:r>
    </w:p>
    <w:p>
      <w:pPr>
        <w:pStyle w:val="ListNumber"/>
      </w:pPr>
      <w:r>
        <w:t>Le premier juge a fixé la contribution alimentaire à 220 euros par mois. Madame HENROTTE a interjeté appel par requête déposée le 3 juillet 2023.</w:t>
      </w:r>
    </w:p>
    <w:p>
      <w:pPr>
        <w:pStyle w:val="Heading1"/>
      </w:pPr>
      <w:r>
        <w:t>II. Discussion</w:t>
      </w:r>
    </w:p>
    <w:p>
      <w:r>
        <w:t>Selon une jurisprudence constante, la contribution est fixée en fonction des facultés des parents (Cass., 18 octobre 2019, C.18.0453.F ; C. const., 12 mai 2016, n° 70/2016). La Cour européenne des droits de l'homme rappelle que l'intérêt de l'enfant prime (Cour eur. D.H., arrêt Marckx c. Belgique du 13 juin 1979 ; voir aussi J.T., 2017, p. 345).</w:t>
      </w:r>
    </w:p>
    <w:p>
      <w:r>
        <w:t>L'attestation de Madame F.M., voisine des parties, confirme que l'enfant passe ses week-ends chez sa mère. Le CPAS de Liège et le SPF Finances ont été interrogés.</w:t>
      </w:r>
    </w:p>
    <w:p>
      <w:pPr>
        <w:pStyle w:val="ListBullet"/>
      </w:pPr>
      <w:r>
        <w:t>les frais scolaires (pièce 4) ;</w:t>
      </w:r>
    </w:p>
    <w:p>
      <w:pPr>
        <w:pStyle w:val="ListBullet"/>
      </w:pPr>
      <w:r>
        <w:t>les frais médicaux non remboursés par la mutualité (pièce 5).</w:t>
      </w:r>
    </w:p>
    <w:p>
      <w:r>
        <w:t>Inventaire des pièces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Pièce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Acte de naissance de l'enfant Chloé GILSON</w:t>
            </w:r>
          </w:p>
        </w:tc>
        <w:tc>
          <w:tcPr>
            <w:tcW w:type="dxa" w:w="2880"/>
          </w:tcPr>
          <w:p>
            <w:r>
              <w:t>12.05.2010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Fiches de paie de Monsieur GILSON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Extrait de compte BE68 5390 0754 7034</w:t>
            </w:r>
          </w:p>
        </w:tc>
        <w:tc>
          <w:tcPr>
            <w:tcW w:type="dxa" w:w="2880"/>
          </w:tcPr>
          <w:p>
            <w:r>
              <w:t>01.06.2023</w:t>
            </w:r>
          </w:p>
        </w:tc>
      </w:tr>
    </w:tbl>
    <w:p>
      <w:r>
        <w:t>PAR CES MOTIFS, plaise à la Cour de réformer le jugement entrepris et de condamner Monsieur Patrick GILSON à payer une contribution alimentaire de 350 euros par mois.</w:t>
      </w:r>
    </w:p>
    <w:p>
      <w:r>
        <w:t>Liège, le 2 février 2024.</w:t>
      </w:r>
    </w:p>
    <w:p>
      <w:r>
        <w:t>Pour l'appelante, son conseil, Me I. Leclercq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Conclusions de synthèse – R.G. 2023/AR/1452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Cabinet Leclercq &amp; Associés – Avenue de la Toison d'Or 52, 1060 Bruxelles – Tél. 02/538.12.34 – i.leclercq@leclercq-avocats.be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