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53" w:rsidRDefault="00515973" w:rsidP="00154F53">
      <w:r>
        <w:t xml:space="preserve">  </w:t>
      </w:r>
      <w:r w:rsidR="00154F53">
        <w:t>Universální sériová sběrnice (USB)</w:t>
      </w:r>
    </w:p>
    <w:p w:rsidR="00154F53" w:rsidRDefault="00154F53" w:rsidP="00154F53">
      <w:r>
        <w:t xml:space="preserve">Zkratka v názvu sběrnice vznikla z anglického sousloví Universal </w:t>
      </w:r>
      <w:proofErr w:type="spellStart"/>
      <w:r>
        <w:t>Serial</w:t>
      </w:r>
      <w:proofErr w:type="spellEnd"/>
      <w:r>
        <w:t xml:space="preserve"> Bus. Tato externí sběrnice je v dnešní době jedna z nejrozšířenějších. </w:t>
      </w:r>
      <w:proofErr w:type="gramStart"/>
      <w:r>
        <w:t>Na  fyzické</w:t>
      </w:r>
      <w:proofErr w:type="gramEnd"/>
      <w:r>
        <w:t xml:space="preserve"> úrovni jsou jednotlivá komunikující zařízení (včetně </w:t>
      </w:r>
      <w:proofErr w:type="spellStart"/>
      <w:r>
        <w:t>hubů</w:t>
      </w:r>
      <w:proofErr w:type="spellEnd"/>
      <w:r>
        <w:t xml:space="preserve"> popsaných dále) propojena systémem point to point (jedním kabelem jsou propojena vždy jen dvě zařízení) a ne skutečnou sběrnicí tvořenou společnými vodiči. Z pohledu </w:t>
      </w:r>
      <w:proofErr w:type="gramStart"/>
      <w:r>
        <w:t>na  logické</w:t>
      </w:r>
      <w:proofErr w:type="gramEnd"/>
      <w:r>
        <w:t xml:space="preserve"> úrovni se však o sběrnici skutečně jedná, protože komunikace může probíhat i mezi zařízeními mezi nimiž leží i několik  uzlů - </w:t>
      </w:r>
      <w:proofErr w:type="spellStart"/>
      <w:r>
        <w:t>hubů</w:t>
      </w:r>
      <w:proofErr w:type="spellEnd"/>
      <w:r>
        <w:t>, kde  dochází k větvení. Celá sběrnice vč. konektorů, způsobu propojení jednotlivých komunikujících uzlů je navržena s ohledem na co nejjednodušší práci se zařízeními z hlediska uživatele a tedy podporu standardu HOT PLUG.</w:t>
      </w:r>
    </w:p>
    <w:p w:rsidR="00154F53" w:rsidRDefault="00A777DF" w:rsidP="00154F53">
      <w:r>
        <w:t xml:space="preserve">Další pozitivní vlastnost sběrnice je, že umožňuje i napájet připojené zařízení. </w:t>
      </w:r>
      <w:r w:rsidR="00C975C6">
        <w:t xml:space="preserve">Sběrnice USB obsahuje kromě datových vodičů i napájecí vodiče, přičemž je normou stanoveno, jaký proud mohou jednotlivá zařízení z počítače odebírat. </w:t>
      </w:r>
      <w:r>
        <w:t xml:space="preserve">Sběrnice USB však vždy nemusí výkonovými požadavky zařízení na napájení stačit, ale v mnoha případech je </w:t>
      </w:r>
      <w:proofErr w:type="spellStart"/>
      <w:r>
        <w:t>dodvávané</w:t>
      </w:r>
      <w:proofErr w:type="spellEnd"/>
      <w:r>
        <w:t xml:space="preserve"> napájení dostačující. Pro verzi USB 2.0 jde 5V 0,5 A, u verze USB 3.0 5V 0,9A a USB Type-C 20V 5A.</w:t>
      </w:r>
      <w:r w:rsidR="00C975C6">
        <w:t xml:space="preserve"> </w:t>
      </w:r>
      <w:r w:rsidR="00154F53">
        <w:t>2. Způsob propojení a vzájemné komunikace zařízení</w:t>
      </w:r>
    </w:p>
    <w:p w:rsidR="00154F53" w:rsidRDefault="00C975C6" w:rsidP="00154F53">
      <w:r>
        <w:t xml:space="preserve">Budeme-li se bavit o topologii sběrnice USB, tak lze ji klasifikovat jako víceúrovňovou hvězdicovou respektive </w:t>
      </w:r>
      <w:r w:rsidR="00154F53">
        <w:t xml:space="preserve">stromové </w:t>
      </w:r>
      <w:r>
        <w:t xml:space="preserve">topologii. Na sběrnici nelze </w:t>
      </w:r>
      <w:r w:rsidR="00154F53">
        <w:t>vytv</w:t>
      </w:r>
      <w:r>
        <w:t>ořit zařízení zapojená do kruhu</w:t>
      </w:r>
      <w:r w:rsidR="00154F53">
        <w:t>.</w:t>
      </w:r>
      <w:r>
        <w:t xml:space="preserve"> Základ </w:t>
      </w:r>
      <w:proofErr w:type="gramStart"/>
      <w:r>
        <w:t>nebo-</w:t>
      </w:r>
      <w:proofErr w:type="spellStart"/>
      <w:r>
        <w:t>li</w:t>
      </w:r>
      <w:proofErr w:type="spellEnd"/>
      <w:r>
        <w:t xml:space="preserve"> kořen</w:t>
      </w:r>
      <w:proofErr w:type="gramEnd"/>
      <w:r>
        <w:t xml:space="preserve"> onoho stromu je </w:t>
      </w:r>
      <w:r w:rsidR="00154F53">
        <w:t>zařízení, které komunikaci řídí</w:t>
      </w:r>
      <w:r>
        <w:t xml:space="preserve"> tzn. </w:t>
      </w:r>
      <w:r w:rsidR="00154F53">
        <w:t>jedná se o zař</w:t>
      </w:r>
      <w:r>
        <w:t xml:space="preserve">ízení pracující v režimu master. Další zařízení pak pracují v režimu </w:t>
      </w:r>
      <w:proofErr w:type="spellStart"/>
      <w:r>
        <w:t>slave</w:t>
      </w:r>
      <w:proofErr w:type="spellEnd"/>
      <w:r>
        <w:t xml:space="preserve"> a </w:t>
      </w:r>
      <w:r w:rsidR="00154F53">
        <w:t xml:space="preserve">může </w:t>
      </w:r>
      <w:r>
        <w:t xml:space="preserve">jich </w:t>
      </w:r>
      <w:r w:rsidR="00154F53">
        <w:t>být až 127</w:t>
      </w:r>
      <w:r>
        <w:t xml:space="preserve">. Master </w:t>
      </w:r>
      <w:proofErr w:type="gramStart"/>
      <w:r>
        <w:t>zařízení  je</w:t>
      </w:r>
      <w:proofErr w:type="gramEnd"/>
      <w:r>
        <w:t xml:space="preserve"> ve většině případů počítač respektive řadič sběrnice USB. Díky jedinému zařízení v režimu master bylo možné značně zjednodušit komunikační protokol, ale také na druhou stranu nelze </w:t>
      </w:r>
      <w:r w:rsidR="00154F53">
        <w:t>mezi sebou propojit dvě zařízení typu master.</w:t>
      </w:r>
      <w:r w:rsidR="003333DD">
        <w:t xml:space="preserve"> Pro znemožnění propojení dvou zařízení typu master se na fyzické úrovni </w:t>
      </w:r>
      <w:proofErr w:type="gramStart"/>
      <w:r w:rsidR="003333DD">
        <w:t>používají</w:t>
      </w:r>
      <w:proofErr w:type="gramEnd"/>
      <w:r w:rsidR="003333DD">
        <w:t xml:space="preserve"> rozdílné konektory </w:t>
      </w:r>
      <w:proofErr w:type="gramStart"/>
      <w:r w:rsidR="003333DD">
        <w:t>tzn.</w:t>
      </w:r>
      <w:proofErr w:type="gramEnd"/>
      <w:r w:rsidR="003333DD">
        <w:t xml:space="preserve"> </w:t>
      </w:r>
      <w:r w:rsidR="00154F53">
        <w:t>konektor umístěný v počítači je mechanicky odlišný od konektorů zabudovaných na dalších zařízeních.</w:t>
      </w:r>
      <w:r w:rsidR="003333DD">
        <w:t xml:space="preserve"> Jak už tomu mnohdy bývá, tak existují opět výjimky potvrzující pravidlo  např.:</w:t>
      </w:r>
      <w:r w:rsidR="003E665A">
        <w:t xml:space="preserve"> některá</w:t>
      </w:r>
      <w:r w:rsidR="003333DD">
        <w:t xml:space="preserve"> </w:t>
      </w:r>
      <w:r w:rsidR="00154F53">
        <w:t xml:space="preserve">zařízení mohou pracovat jako master i </w:t>
      </w:r>
      <w:proofErr w:type="spellStart"/>
      <w:r w:rsidR="00154F53">
        <w:t>slave</w:t>
      </w:r>
      <w:proofErr w:type="spellEnd"/>
      <w:r w:rsidR="003E665A">
        <w:t xml:space="preserve"> digitální fotoaparáty, </w:t>
      </w:r>
      <w:proofErr w:type="spellStart"/>
      <w:r w:rsidR="003E665A">
        <w:t>smartphony</w:t>
      </w:r>
      <w:proofErr w:type="spellEnd"/>
      <w:r w:rsidR="003E665A">
        <w:t xml:space="preserve"> </w:t>
      </w:r>
      <w:proofErr w:type="gramStart"/>
      <w:r w:rsidR="003E665A">
        <w:t>tzn. dokáží</w:t>
      </w:r>
      <w:proofErr w:type="gramEnd"/>
      <w:r w:rsidR="003E665A">
        <w:t xml:space="preserve"> ovládat tiskárnu apod. Platí </w:t>
      </w:r>
      <w:r w:rsidR="00154F53">
        <w:t>ovšem</w:t>
      </w:r>
      <w:r w:rsidR="003E665A">
        <w:t>, že</w:t>
      </w:r>
      <w:r w:rsidR="00154F53">
        <w:t xml:space="preserve"> v daném okamžiku je aktivní pouze jeden z těchto režimů.</w:t>
      </w:r>
    </w:p>
    <w:p w:rsidR="003E665A" w:rsidRDefault="003E665A" w:rsidP="00154F53">
      <w:r>
        <w:t xml:space="preserve">Konektory typu A jsou určené pro externí sběrnici USB. Tento konektor se </w:t>
      </w:r>
      <w:proofErr w:type="gramStart"/>
      <w:r>
        <w:t>připojuje</w:t>
      </w:r>
      <w:proofErr w:type="gramEnd"/>
      <w:r>
        <w:t xml:space="preserve"> vždy do počítače </w:t>
      </w:r>
      <w:proofErr w:type="gramStart"/>
      <w:r>
        <w:t>tzn.</w:t>
      </w:r>
      <w:proofErr w:type="gramEnd"/>
      <w:r>
        <w:t xml:space="preserve"> přesněji řečeno do zařízení typu master. Na druhé straně propojovacího kabelu je umístěn konektor typu B, který slouží pro připojení k nějakému zařízení typu SLAVE. </w:t>
      </w:r>
    </w:p>
    <w:p w:rsidR="00154F53" w:rsidRDefault="003E665A" w:rsidP="003E665A">
      <w:pPr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38055BD7" wp14:editId="40A11F26">
            <wp:extent cx="4546121" cy="5585339"/>
            <wp:effectExtent l="0" t="0" r="6985" b="0"/>
            <wp:docPr id="1" name="Obrázek 1" descr="http://jackos.cz/wp-content/uploads/2015/12/USB-porovn%C3%A1n%C3%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ckos.cz/wp-content/uploads/2015/12/USB-porovn%C3%A1n%C3%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30" cy="561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1B" w:rsidRDefault="00FF0B1B" w:rsidP="00FF0B1B">
      <w:r>
        <w:t xml:space="preserve">V současné době se začíná pomalu prosazovat konektor USB C, který kromě možnosti přenášet i větší množství </w:t>
      </w:r>
      <w:proofErr w:type="spellStart"/>
      <w:r>
        <w:t>ele</w:t>
      </w:r>
      <w:proofErr w:type="spellEnd"/>
      <w:r>
        <w:t>. energie, je oboustranný.</w:t>
      </w:r>
    </w:p>
    <w:p w:rsidR="00FF0B1B" w:rsidRDefault="00FF0B1B" w:rsidP="00C530BE">
      <w:pPr>
        <w:jc w:val="center"/>
      </w:pPr>
      <w:r>
        <w:rPr>
          <w:noProof/>
          <w:lang w:eastAsia="cs-CZ"/>
        </w:rPr>
        <w:drawing>
          <wp:inline distT="0" distB="0" distL="0" distR="0" wp14:anchorId="0034B8B2" wp14:editId="019E2783">
            <wp:extent cx="1337077" cy="1002285"/>
            <wp:effectExtent l="0" t="0" r="0" b="7620"/>
            <wp:docPr id="2" name="Obrázek 2" descr="Výsledek obrázku pro usb type c 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usb type c ma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73" cy="10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0BE">
        <w:rPr>
          <w:noProof/>
          <w:lang w:eastAsia="cs-CZ"/>
        </w:rPr>
        <w:drawing>
          <wp:inline distT="0" distB="0" distL="0" distR="0" wp14:anchorId="2B5E6B77" wp14:editId="604D6FC9">
            <wp:extent cx="1689811" cy="845000"/>
            <wp:effectExtent l="0" t="0" r="0" b="0"/>
            <wp:docPr id="3" name="Obrázek 3" descr="Výsledek obrázku pro usb type c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 obrázku pro usb type c fema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47" cy="8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53" w:rsidRDefault="00F57C38" w:rsidP="00154F53">
      <w:r>
        <w:t>Rozbočovače</w:t>
      </w:r>
    </w:p>
    <w:p w:rsidR="00154F53" w:rsidRDefault="00F57C38" w:rsidP="00154F53">
      <w:r>
        <w:t xml:space="preserve">Jak již bylo v úvodu řečeno, tak </w:t>
      </w:r>
      <w:r w:rsidR="00154F53">
        <w:t>jedním kabelem lze propojit pouze dva uzly</w:t>
      </w:r>
      <w:r>
        <w:t xml:space="preserve">, proto existují tzv. rozbočovače, které umožnují počet připojených zařízení k sběrnici </w:t>
      </w:r>
      <w:r w:rsidR="00154F53">
        <w:t>až na maximální hranici, která činí 127 uzlů připojite</w:t>
      </w:r>
      <w:r>
        <w:t>lných k jednomu kořenovému uzlu.  R</w:t>
      </w:r>
      <w:r w:rsidR="00154F53">
        <w:t>ozbočovač</w:t>
      </w:r>
      <w:r>
        <w:t xml:space="preserve">e mohou být dvojího provedení </w:t>
      </w:r>
      <w:r w:rsidR="00154F53">
        <w:t>buď specializovaným zařízením, jež slouží pouze pro připojení dalšíc</w:t>
      </w:r>
      <w:r>
        <w:t xml:space="preserve">h uzlů, nebo má i jinou funkci např. rozbočovač. Integrovaný do monitoru. Rozbočovač jako takový </w:t>
      </w:r>
      <w:r w:rsidR="00154F53">
        <w:t xml:space="preserve">obsahuje vždy jeden konektor </w:t>
      </w:r>
      <w:r w:rsidR="00154F53">
        <w:lastRenderedPageBreak/>
        <w:t>(většinou typu B) určený pro připojení buď přímo ke kořenu (počítači) nebo k dalšímu rozbočovači a prakticky libovolný počet konektorů (většinou typu A), na které lze připojit koncová zařízení. Díky tomuto uspořádání je již mechanicky zajištěno, že nevznikne zakázaná topologie obsahující cyklus.</w:t>
      </w:r>
      <w:r>
        <w:t xml:space="preserve"> R</w:t>
      </w:r>
      <w:r w:rsidR="00154F53">
        <w:t>ozbočovač</w:t>
      </w:r>
      <w:r w:rsidR="00C530BE">
        <w:t xml:space="preserve"> jakožto zař</w:t>
      </w:r>
      <w:r>
        <w:t>ízení</w:t>
      </w:r>
      <w:r w:rsidR="00154F53">
        <w:t xml:space="preserve"> obsahuje poměrně složité obvody, které zajišťují řízení sběrnice, zesilování signálů, úpravu jejich hran a směrování paketů, tj. nejedná se o pouhé paralelní propojení několika konektorů.</w:t>
      </w:r>
      <w:r w:rsidR="00C530BE">
        <w:t xml:space="preserve"> Některé USB rozbočovače vyžadují externí napájení.</w:t>
      </w:r>
      <w:r w:rsidR="00154F53">
        <w:t xml:space="preserve"> Norma stanovuje, že za sebou může být zapojeno maximálně pět rozbočovačů, ovšem díky tomu, že počet rozbočovačů na stejné úrovni již omezen není, lze snadno vybudovat i velmi rozsáhlé sítě, které jsou omezené především maximální povole</w:t>
      </w:r>
      <w:r w:rsidR="00C530BE">
        <w:t>nou délkou propojovacích kabelů.</w:t>
      </w:r>
    </w:p>
    <w:p w:rsidR="00C530BE" w:rsidRDefault="00C530BE" w:rsidP="00C530BE">
      <w:pPr>
        <w:jc w:val="center"/>
      </w:pPr>
      <w:r>
        <w:rPr>
          <w:noProof/>
          <w:lang w:eastAsia="cs-CZ"/>
        </w:rPr>
        <w:drawing>
          <wp:inline distT="0" distB="0" distL="0" distR="0" wp14:anchorId="15C64FFC" wp14:editId="73F7217A">
            <wp:extent cx="1653235" cy="1653235"/>
            <wp:effectExtent l="0" t="0" r="4445" b="4445"/>
            <wp:docPr id="4" name="Obrázek 4" descr="Výsledek obrázku pro usb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ek obrázku pro usb 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78" cy="165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53" w:rsidRDefault="00154F53" w:rsidP="00154F53">
      <w:r>
        <w:t>Přenosové rychlosti</w:t>
      </w:r>
    </w:p>
    <w:p w:rsidR="005C23CC" w:rsidRDefault="00154F53" w:rsidP="00154F53">
      <w:r>
        <w:t xml:space="preserve">Zařízení, která </w:t>
      </w:r>
      <w:proofErr w:type="gramStart"/>
      <w:r>
        <w:t>jsou</w:t>
      </w:r>
      <w:proofErr w:type="gramEnd"/>
      <w:r>
        <w:t xml:space="preserve"> připojena na sběrnici USB </w:t>
      </w:r>
      <w:proofErr w:type="gramStart"/>
      <w:r>
        <w:t>mohou</w:t>
      </w:r>
      <w:proofErr w:type="gramEnd"/>
      <w:r>
        <w:t xml:space="preserve"> přenášet data několika rychlostmi. </w:t>
      </w:r>
    </w:p>
    <w:p w:rsidR="005C23CC" w:rsidRDefault="00154F53" w:rsidP="007D6E6A">
      <w:pPr>
        <w:pStyle w:val="Odstavecseseznamem"/>
        <w:numPr>
          <w:ilvl w:val="0"/>
          <w:numId w:val="4"/>
        </w:numPr>
      </w:pPr>
      <w:r>
        <w:t xml:space="preserve">USB 1.0 </w:t>
      </w:r>
      <w:r w:rsidR="005C23CC">
        <w:t xml:space="preserve">1,5 </w:t>
      </w:r>
      <w:proofErr w:type="spellStart"/>
      <w:r w:rsidR="005C23CC">
        <w:t>Mb</w:t>
      </w:r>
      <w:proofErr w:type="spellEnd"/>
      <w:r w:rsidR="005C23CC">
        <w:t>/s</w:t>
      </w:r>
      <w:r>
        <w:t xml:space="preserve"> </w:t>
      </w:r>
      <w:r w:rsidR="005C23CC">
        <w:t xml:space="preserve"> </w:t>
      </w:r>
      <w:proofErr w:type="spellStart"/>
      <w:r w:rsidR="005C23CC">
        <w:t>Low</w:t>
      </w:r>
      <w:proofErr w:type="spellEnd"/>
      <w:r w:rsidR="005C23CC">
        <w:t xml:space="preserve"> Speed</w:t>
      </w:r>
    </w:p>
    <w:p w:rsidR="005C23CC" w:rsidRDefault="005C23CC" w:rsidP="007D6E6A">
      <w:pPr>
        <w:pStyle w:val="Odstavecseseznamem"/>
        <w:numPr>
          <w:ilvl w:val="0"/>
          <w:numId w:val="4"/>
        </w:numPr>
      </w:pPr>
      <w:r>
        <w:t xml:space="preserve">USB 1.1 12 </w:t>
      </w:r>
      <w:proofErr w:type="spellStart"/>
      <w:r>
        <w:t>Mb</w:t>
      </w:r>
      <w:proofErr w:type="spellEnd"/>
      <w:r>
        <w:t xml:space="preserve">/s </w:t>
      </w:r>
      <w:r w:rsidR="00154F53">
        <w:t>Full Speed</w:t>
      </w:r>
    </w:p>
    <w:p w:rsidR="00154F53" w:rsidRDefault="00154F53" w:rsidP="007D6E6A">
      <w:pPr>
        <w:pStyle w:val="Odstavecseseznamem"/>
        <w:numPr>
          <w:ilvl w:val="0"/>
          <w:numId w:val="4"/>
        </w:numPr>
      </w:pPr>
      <w:r>
        <w:t xml:space="preserve">USB 2.0 </w:t>
      </w:r>
      <w:r w:rsidR="005C23CC">
        <w:t xml:space="preserve">480 </w:t>
      </w:r>
      <w:proofErr w:type="spellStart"/>
      <w:r w:rsidR="005C23CC">
        <w:t>Mb</w:t>
      </w:r>
      <w:proofErr w:type="spellEnd"/>
      <w:r w:rsidR="005C23CC">
        <w:t xml:space="preserve">/s </w:t>
      </w:r>
      <w:proofErr w:type="spellStart"/>
      <w:r>
        <w:t>High</w:t>
      </w:r>
      <w:proofErr w:type="spellEnd"/>
      <w:r>
        <w:t xml:space="preserve"> speed</w:t>
      </w:r>
    </w:p>
    <w:p w:rsidR="00154F53" w:rsidRDefault="005C23CC" w:rsidP="007D6E6A">
      <w:pPr>
        <w:pStyle w:val="Odstavecseseznamem"/>
        <w:numPr>
          <w:ilvl w:val="0"/>
          <w:numId w:val="4"/>
        </w:numPr>
        <w:tabs>
          <w:tab w:val="left" w:pos="2972"/>
        </w:tabs>
      </w:pPr>
      <w:r>
        <w:t xml:space="preserve">USB 3.0 </w:t>
      </w:r>
      <w:r w:rsidRPr="005C23CC">
        <w:t xml:space="preserve">5 </w:t>
      </w:r>
      <w:proofErr w:type="spellStart"/>
      <w:r w:rsidRPr="005C23CC">
        <w:t>Gbit</w:t>
      </w:r>
      <w:proofErr w:type="spellEnd"/>
      <w:r w:rsidRPr="005C23CC">
        <w:t>/s</w:t>
      </w:r>
      <w:r>
        <w:t xml:space="preserve"> </w:t>
      </w:r>
      <w:proofErr w:type="spellStart"/>
      <w:r>
        <w:t>SuperSpeed</w:t>
      </w:r>
      <w:proofErr w:type="spellEnd"/>
      <w:r w:rsidR="007D6E6A">
        <w:tab/>
      </w:r>
    </w:p>
    <w:p w:rsidR="005C23CC" w:rsidRDefault="005C23CC" w:rsidP="007D6E6A">
      <w:pPr>
        <w:pStyle w:val="Odstavecseseznamem"/>
        <w:numPr>
          <w:ilvl w:val="0"/>
          <w:numId w:val="4"/>
        </w:numPr>
      </w:pPr>
      <w:r>
        <w:t>USB 3.1 10</w:t>
      </w:r>
      <w:r w:rsidRPr="005C23CC">
        <w:t xml:space="preserve"> </w:t>
      </w:r>
      <w:proofErr w:type="spellStart"/>
      <w:r w:rsidRPr="005C23CC">
        <w:t>Gbit</w:t>
      </w:r>
      <w:proofErr w:type="spellEnd"/>
      <w:r w:rsidRPr="005C23CC">
        <w:t>/s</w:t>
      </w:r>
      <w:r>
        <w:t xml:space="preserve"> </w:t>
      </w:r>
      <w:proofErr w:type="spellStart"/>
      <w:r>
        <w:t>SuperSpeed</w:t>
      </w:r>
      <w:proofErr w:type="spellEnd"/>
      <w:r>
        <w:t>+</w:t>
      </w:r>
    </w:p>
    <w:p w:rsidR="00A14F81" w:rsidRDefault="00A14F81" w:rsidP="00A14F81">
      <w:r w:rsidRPr="00A14F81">
        <w:t>Rychlost přenosu reálných dat</w:t>
      </w:r>
      <w:r w:rsidRPr="00556F4C">
        <w:t xml:space="preserve"> je </w:t>
      </w:r>
      <w:r w:rsidRPr="00A14F81">
        <w:t xml:space="preserve">reálně </w:t>
      </w:r>
      <w:r w:rsidRPr="00556F4C">
        <w:t>někdy i podstatně nižš</w:t>
      </w:r>
      <w:r w:rsidRPr="00A14F81">
        <w:t>í, protože se kromě vlastních</w:t>
      </w:r>
      <w:r w:rsidRPr="00556F4C">
        <w:t xml:space="preserve"> dat musí přenášet</w:t>
      </w:r>
      <w:r w:rsidRPr="00A14F81">
        <w:t xml:space="preserve"> i další informace – adresy, parita</w:t>
      </w:r>
      <w:r w:rsidRPr="00556F4C">
        <w:t xml:space="preserve">, řídicí </w:t>
      </w:r>
      <w:r w:rsidRPr="00A14F81">
        <w:t>signály</w:t>
      </w:r>
      <w:r w:rsidRPr="00556F4C">
        <w:t> atd.</w:t>
      </w:r>
      <w:r w:rsidR="00F92858">
        <w:t xml:space="preserve"> Danou přenosovou rychlost musí podporovat zařízení na obou stranách. Pokud zařízení podporují rozdílné komunikační rychlosti je s daným zařízením komunikováno jeho nevyšší komunikační rych</w:t>
      </w:r>
      <w:r w:rsidR="00A97C1D">
        <w:t>lostí. Detekce přenosové</w:t>
      </w:r>
      <w:r w:rsidR="00F92858">
        <w:t xml:space="preserve"> rychlosti probíhá dle zapojení rezistorů na signálové vodiče u zařízení, tj. na vodiči se změní odpor daného vodiče</w:t>
      </w:r>
      <w:r w:rsidR="008E7336">
        <w:t xml:space="preserve"> a tím se nastaví příslušná napěťová úroveň</w:t>
      </w:r>
      <w:r w:rsidR="00F92858">
        <w:t>.</w:t>
      </w:r>
    </w:p>
    <w:p w:rsidR="00CA7C32" w:rsidRDefault="00CA7C32" w:rsidP="00A14F81">
      <w:r>
        <w:t>Priorita přenášených dat</w:t>
      </w:r>
    </w:p>
    <w:p w:rsidR="00FB1794" w:rsidRDefault="00CA7C32" w:rsidP="00A14F81">
      <w:r>
        <w:t xml:space="preserve">Jelikož </w:t>
      </w:r>
      <w:proofErr w:type="gramStart"/>
      <w:r>
        <w:t>na</w:t>
      </w:r>
      <w:proofErr w:type="gramEnd"/>
      <w:r>
        <w:t xml:space="preserve"> k jednomu kořenovému uzlu lze připojit až 127 zařízení, tak pokud by všechna zařízení měla komunikovat s kořenovým uzlem současně tak by toto vedlo ke značnému zahlcení sběrnice. Proto rozlišujeme </w:t>
      </w:r>
      <w:r w:rsidR="00FB1794">
        <w:t>tři základní priority přenosu dat, podle kterých jsou přenášená data po sběrnici upřednostňována.</w:t>
      </w:r>
    </w:p>
    <w:p w:rsidR="00CA7C32" w:rsidRDefault="00FB1794" w:rsidP="00FB1794">
      <w:pPr>
        <w:pStyle w:val="Odstavecseseznamem"/>
        <w:numPr>
          <w:ilvl w:val="0"/>
          <w:numId w:val="2"/>
        </w:numPr>
      </w:pPr>
      <w:r>
        <w:lastRenderedPageBreak/>
        <w:t>Nejvyšší priorita – přenos izochronní nebo též v reálném čase, používá se tam, kde nesmí nastat přerušení toku dat např. video a zvuk – webkamera.</w:t>
      </w:r>
    </w:p>
    <w:p w:rsidR="00FB1794" w:rsidRDefault="00B60D3F" w:rsidP="00FB1794">
      <w:pPr>
        <w:pStyle w:val="Odstavecseseznamem"/>
        <w:numPr>
          <w:ilvl w:val="0"/>
          <w:numId w:val="2"/>
        </w:numPr>
      </w:pPr>
      <w:r>
        <w:t>Druhá nejvyšší priorita – přenosy s přerušením, ke kterým dochází pouze, když zařízení např. klávesnice či myš generují signál přerušení, aby získaly procesorový čas.</w:t>
      </w:r>
    </w:p>
    <w:p w:rsidR="00B60D3F" w:rsidRPr="00A14F81" w:rsidRDefault="00B60D3F" w:rsidP="00FB1794">
      <w:pPr>
        <w:pStyle w:val="Odstavecseseznamem"/>
        <w:numPr>
          <w:ilvl w:val="0"/>
          <w:numId w:val="2"/>
        </w:numPr>
      </w:pPr>
      <w:r>
        <w:t xml:space="preserve">Nejnižší priorita – přenos velkých objemů dat pro tiskárny či skenery, avšak není zde prioritou </w:t>
      </w:r>
      <w:proofErr w:type="gramStart"/>
      <w:r>
        <w:t>čas tj.</w:t>
      </w:r>
      <w:proofErr w:type="gramEnd"/>
      <w:r>
        <w:t xml:space="preserve"> data budou přenesena až to provoz na sběrnici dovolí.</w:t>
      </w:r>
    </w:p>
    <w:p w:rsidR="00154F53" w:rsidRDefault="006E339F" w:rsidP="00154F53">
      <w:r>
        <w:t>Třídy a podtřídy USB zařízení</w:t>
      </w:r>
    </w:p>
    <w:p w:rsidR="00154F53" w:rsidRDefault="00154F53" w:rsidP="00FF0B1B">
      <w:r>
        <w:t>Na universální sériovou sběrnici je možné připojit velké množ</w:t>
      </w:r>
      <w:r w:rsidR="00A97C1D">
        <w:t xml:space="preserve">ství různých zařízení, od pomalu </w:t>
      </w:r>
      <w:r>
        <w:t xml:space="preserve">rychlostních klávesnic, myší a joysticků přes známé paměti </w:t>
      </w:r>
      <w:proofErr w:type="spellStart"/>
      <w:r>
        <w:t>Flash</w:t>
      </w:r>
      <w:proofErr w:type="spellEnd"/>
      <w:r>
        <w:t xml:space="preserve"> (</w:t>
      </w:r>
      <w:proofErr w:type="spellStart"/>
      <w:r>
        <w:t>Flash</w:t>
      </w:r>
      <w:proofErr w:type="spellEnd"/>
      <w:r>
        <w:t xml:space="preserve"> disky) až po tiskárny, webové kamery či skenery. Každému zařízení je podle jeho funkce přiřazen kód nazývaný třída zařízení. Podle třídy zařízení, kterou je možné zjistit ihned po zapojení zařízení do sítě a jeho resetu, operační systém zvolí vhodný ovladač, při</w:t>
      </w:r>
      <w:r w:rsidR="006E339F">
        <w:t xml:space="preserve">čemž – a to je docela důležité, že </w:t>
      </w:r>
      <w:r>
        <w:t>zařízení spadají do stejné třídy, mohou používat shodný či velmi podobný ovladač, i když se může jednat o zařízení od různých výrobců. Některé třídy zařízení se dále dělí na speciali</w:t>
      </w:r>
      <w:r w:rsidR="00556F4C">
        <w:t>zované podtřídy a pod-podtřídy.</w:t>
      </w:r>
    </w:p>
    <w:p w:rsidR="00556F4C" w:rsidRPr="00556F4C" w:rsidRDefault="00556F4C" w:rsidP="0051064A">
      <w:r w:rsidRPr="00556F4C">
        <w:t>Komunikační protokol universální sériové sběrnice</w:t>
      </w:r>
    </w:p>
    <w:p w:rsidR="00556F4C" w:rsidRPr="00556F4C" w:rsidRDefault="00AD5D7E" w:rsidP="0051064A">
      <w:r w:rsidRPr="0051064A">
        <w:t xml:space="preserve">Řídící uzel </w:t>
      </w:r>
      <w:r w:rsidR="00556F4C" w:rsidRPr="00556F4C">
        <w:t>může komunikovat s jakýmkoli připojeným zařízením, bez ohledu na to, v jakém místě stromové struktury se toto zařízení ve skutečnosti nachází.</w:t>
      </w:r>
    </w:p>
    <w:p w:rsidR="00AD5D7E" w:rsidRPr="0051064A" w:rsidRDefault="00AD5D7E" w:rsidP="0051064A"/>
    <w:p w:rsidR="00AD5D7E" w:rsidRPr="0051064A" w:rsidRDefault="00556F4C" w:rsidP="0051064A">
      <w:pPr>
        <w:jc w:val="center"/>
      </w:pPr>
      <w:r w:rsidRPr="0051064A">
        <w:rPr>
          <w:noProof/>
          <w:lang w:eastAsia="cs-CZ"/>
        </w:rPr>
        <w:drawing>
          <wp:inline distT="0" distB="0" distL="0" distR="0" wp14:anchorId="5C1A3FF4" wp14:editId="76145618">
            <wp:extent cx="2245767" cy="1861983"/>
            <wp:effectExtent l="0" t="0" r="2540" b="5080"/>
            <wp:docPr id="14" name="Obrázek 14" descr="pc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c46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57" cy="186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4C" w:rsidRPr="00556F4C" w:rsidRDefault="00AD5D7E" w:rsidP="0051064A">
      <w:r w:rsidRPr="0051064A">
        <w:t xml:space="preserve">Jelikož na </w:t>
      </w:r>
      <w:proofErr w:type="gramStart"/>
      <w:r w:rsidRPr="0051064A">
        <w:t>se</w:t>
      </w:r>
      <w:proofErr w:type="gramEnd"/>
      <w:r w:rsidRPr="0051064A">
        <w:t xml:space="preserve"> na celé sběrnici nachází pouze jeden kořenový uzel, tak bylo možné značně zjednodušit komunikační protokol</w:t>
      </w:r>
      <w:r w:rsidR="00556F4C" w:rsidRPr="00556F4C">
        <w:t xml:space="preserve"> a také k možnosti připojovat a odpojovat periferní zařízení bez ovlivnění činnosti ostatních uzlů. </w:t>
      </w:r>
      <w:r w:rsidRPr="0051064A">
        <w:t xml:space="preserve">Jak již bylo zmíněno výše, maximální </w:t>
      </w:r>
      <w:r w:rsidR="00556F4C" w:rsidRPr="00556F4C">
        <w:t>počet zařízení připojitelných ke kořenovému uzlu dosahuje hodnoty 127, protože každému zařízení je přiřazena jedna sedmibitová adresa (27=128), přičemž jedna adresa z tohoto rozsahu je určena pro přenos speciálního tokenu do uzlu, kterému ještě adresa nebyla přidělena</w:t>
      </w:r>
    </w:p>
    <w:p w:rsidR="00556F4C" w:rsidRPr="00556F4C" w:rsidRDefault="00556F4C" w:rsidP="0051064A">
      <w:r w:rsidRPr="00556F4C">
        <w:t>Přenosové médium</w:t>
      </w:r>
    </w:p>
    <w:p w:rsidR="00A14F81" w:rsidRPr="0051064A" w:rsidRDefault="00A14F81" w:rsidP="0051064A">
      <w:r w:rsidRPr="0051064A">
        <w:lastRenderedPageBreak/>
        <w:t>Do verze USB 2.0</w:t>
      </w:r>
    </w:p>
    <w:p w:rsidR="00A14F81" w:rsidRPr="0051064A" w:rsidRDefault="00556F4C" w:rsidP="007D6E6A">
      <w:pPr>
        <w:pStyle w:val="Odstavecseseznamem"/>
        <w:numPr>
          <w:ilvl w:val="0"/>
          <w:numId w:val="5"/>
        </w:numPr>
      </w:pPr>
      <w:r w:rsidRPr="00556F4C">
        <w:t>Pro propojení dvou komunikujících uzlů se</w:t>
      </w:r>
      <w:r w:rsidR="00A14F81" w:rsidRPr="0051064A">
        <w:t xml:space="preserve"> používá kabel se čtyřmi vodiči</w:t>
      </w:r>
      <w:r w:rsidR="00B60D3F">
        <w:t>.</w:t>
      </w:r>
    </w:p>
    <w:p w:rsidR="00A14F81" w:rsidRPr="0051064A" w:rsidRDefault="00A14F81" w:rsidP="007D6E6A">
      <w:pPr>
        <w:pStyle w:val="Odstavecseseznamem"/>
        <w:numPr>
          <w:ilvl w:val="0"/>
          <w:numId w:val="5"/>
        </w:numPr>
      </w:pPr>
      <w:r w:rsidRPr="0051064A">
        <w:t xml:space="preserve">vodič označený </w:t>
      </w:r>
      <w:r w:rsidR="00556F4C" w:rsidRPr="0051064A">
        <w:t xml:space="preserve"> VBUS (popř. UBUS)</w:t>
      </w:r>
      <w:r w:rsidRPr="0051064A">
        <w:t xml:space="preserve"> nese kladný pól napájecího napětí a jeho barva je červená</w:t>
      </w:r>
    </w:p>
    <w:p w:rsidR="00A14F81" w:rsidRPr="0051064A" w:rsidRDefault="00A14F81" w:rsidP="007D6E6A">
      <w:pPr>
        <w:pStyle w:val="Odstavecseseznamem"/>
        <w:numPr>
          <w:ilvl w:val="0"/>
          <w:numId w:val="5"/>
        </w:numPr>
      </w:pPr>
      <w:r w:rsidRPr="0051064A">
        <w:t xml:space="preserve">vodič označený </w:t>
      </w:r>
      <w:r w:rsidR="00556F4C" w:rsidRPr="0051064A">
        <w:t xml:space="preserve">GND </w:t>
      </w:r>
      <w:r w:rsidRPr="0051064A">
        <w:t>je pak jako záporný pól napájecího napětí a jeho barva je pak černá</w:t>
      </w:r>
    </w:p>
    <w:p w:rsidR="00A14F81" w:rsidRPr="0051064A" w:rsidRDefault="00A14F81" w:rsidP="007D6E6A">
      <w:pPr>
        <w:pStyle w:val="Odstavecseseznamem"/>
        <w:numPr>
          <w:ilvl w:val="0"/>
          <w:numId w:val="5"/>
        </w:numPr>
      </w:pPr>
      <w:bookmarkStart w:id="0" w:name="_GoBack"/>
      <w:r w:rsidRPr="0051064A">
        <w:t xml:space="preserve">vodiče </w:t>
      </w:r>
      <w:proofErr w:type="spellStart"/>
      <w:r w:rsidRPr="0051064A">
        <w:t>označenýné</w:t>
      </w:r>
      <w:proofErr w:type="spellEnd"/>
      <w:r w:rsidRPr="0051064A">
        <w:t xml:space="preserve"> </w:t>
      </w:r>
      <w:r w:rsidR="00556F4C" w:rsidRPr="0051064A">
        <w:t>D+</w:t>
      </w:r>
      <w:r w:rsidRPr="0051064A">
        <w:t xml:space="preserve"> (bílý)</w:t>
      </w:r>
      <w:r w:rsidR="00556F4C" w:rsidRPr="0051064A">
        <w:t xml:space="preserve"> a D-</w:t>
      </w:r>
      <w:r w:rsidRPr="0051064A">
        <w:t xml:space="preserve"> (zelený)</w:t>
      </w:r>
      <w:r w:rsidR="00556F4C" w:rsidRPr="0051064A">
        <w:t xml:space="preserve">, jsou určeny pro </w:t>
      </w:r>
      <w:r w:rsidRPr="0051064A">
        <w:t xml:space="preserve">sériový </w:t>
      </w:r>
      <w:proofErr w:type="spellStart"/>
      <w:r w:rsidRPr="0051064A">
        <w:t>poloduplexní</w:t>
      </w:r>
      <w:proofErr w:type="spellEnd"/>
      <w:r w:rsidRPr="0051064A">
        <w:t xml:space="preserve"> přenos dat. </w:t>
      </w:r>
      <w:r w:rsidR="00556F4C" w:rsidRPr="0051064A">
        <w:t>Oba dva signálové vodiče jsou tvořeny kroucenou dvojlinkou, jejíž impedance by měla dosahovat hodnoty přibližně 90 Ω</w:t>
      </w:r>
      <w:r w:rsidRPr="0051064A">
        <w:t>.</w:t>
      </w:r>
      <w:r w:rsidR="00B60D3F">
        <w:t xml:space="preserve"> Jelikož jsou pouze dva vodiče datové, tak se jedná o částečný duplexní přenos </w:t>
      </w:r>
      <w:proofErr w:type="gramStart"/>
      <w:r w:rsidR="00B60D3F">
        <w:t>dat .</w:t>
      </w:r>
      <w:proofErr w:type="gramEnd"/>
    </w:p>
    <w:bookmarkEnd w:id="0"/>
    <w:p w:rsidR="00556F4C" w:rsidRDefault="00556F4C" w:rsidP="0051064A">
      <w:pPr>
        <w:jc w:val="center"/>
      </w:pPr>
      <w:r>
        <w:rPr>
          <w:noProof/>
          <w:lang w:eastAsia="cs-CZ"/>
        </w:rPr>
        <w:drawing>
          <wp:inline distT="0" distB="0" distL="0" distR="0" wp14:anchorId="1E5EB955" wp14:editId="32F8B4CA">
            <wp:extent cx="2514641" cy="759369"/>
            <wp:effectExtent l="0" t="0" r="0" b="3175"/>
            <wp:docPr id="12" name="Obrázek 12" descr="pc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46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24" cy="7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32" w:rsidRDefault="00CA7C32" w:rsidP="00CA7C32">
      <w:r>
        <w:t xml:space="preserve">Od verze USB </w:t>
      </w:r>
      <w:r w:rsidRPr="00CA7C32">
        <w:t xml:space="preserve">3.0. </w:t>
      </w:r>
    </w:p>
    <w:p w:rsidR="00CA7C32" w:rsidRDefault="00CA7C32" w:rsidP="00CA7C32">
      <w:r w:rsidRPr="00CA7C32">
        <w:t>Nové USB na první pohled odlišíme podle modré barvy konektoru. Nejvýraznější změna, ke které došlo je přidání dalších 5 kontaktů. Konkrétně přibyly dva vodiče pro vysílání dat, dva pro příjem dat a jeden zemnící vodič</w:t>
      </w:r>
      <w:r>
        <w:t xml:space="preserve">. </w:t>
      </w:r>
      <w:r w:rsidRPr="00CA7C32">
        <w:t>Jelikož zde existují zvlášť vodiče pro vysílání a příjem dat může komunikace probíhat oběma směry současně</w:t>
      </w:r>
      <w:r>
        <w:t xml:space="preserve"> tj. </w:t>
      </w:r>
      <w:proofErr w:type="gramStart"/>
      <w:r>
        <w:t>plném</w:t>
      </w:r>
      <w:proofErr w:type="gramEnd"/>
      <w:r>
        <w:t xml:space="preserve"> duplexu. Popis vodičů </w:t>
      </w:r>
      <w:proofErr w:type="gramStart"/>
      <w:r>
        <w:t>viz. obrázek</w:t>
      </w:r>
      <w:proofErr w:type="gramEnd"/>
      <w:r>
        <w:t>.</w:t>
      </w:r>
    </w:p>
    <w:p w:rsidR="00CA7C32" w:rsidRPr="0051064A" w:rsidRDefault="00CA7C32" w:rsidP="00CA7C3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161667" cy="308701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81" cy="30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4C" w:rsidRPr="00556F4C" w:rsidRDefault="00556F4C" w:rsidP="0051064A">
      <w:r w:rsidRPr="00556F4C">
        <w:t>Logické úrovně a kódování přenášených bitů</w:t>
      </w:r>
    </w:p>
    <w:p w:rsidR="00FF795A" w:rsidRPr="0051064A" w:rsidRDefault="00556F4C" w:rsidP="0051064A">
      <w:r w:rsidRPr="00556F4C">
        <w:lastRenderedPageBreak/>
        <w:t xml:space="preserve">Pro zařízení pracující v režimu nízké rychlosti i rychlosti normální se používají shodné napěťové úrovně na signálových vodičích. Pro nízkou logickou úroveň </w:t>
      </w:r>
      <w:r w:rsidRPr="0051064A">
        <w:t>L</w:t>
      </w:r>
      <w:r w:rsidRPr="00556F4C">
        <w:t xml:space="preserve"> je stanoven rozsah 0,0 až 0,3 V, pro vysokou logickou úroveň </w:t>
      </w:r>
      <w:r w:rsidRPr="0051064A">
        <w:t>H</w:t>
      </w:r>
      <w:r w:rsidRPr="00556F4C">
        <w:t xml:space="preserve"> pak rozsah 2,8 až 3,6 V</w:t>
      </w:r>
      <w:r w:rsidR="00CE0AF8" w:rsidRPr="0051064A">
        <w:t>.</w:t>
      </w:r>
      <w:r w:rsidR="00F408EB" w:rsidRPr="0051064A">
        <w:t xml:space="preserve"> </w:t>
      </w:r>
    </w:p>
    <w:p w:rsidR="00FF795A" w:rsidRPr="0051064A" w:rsidRDefault="00556F4C" w:rsidP="0051064A">
      <w:r w:rsidRPr="00556F4C">
        <w:t xml:space="preserve">Pro režim vysoké rychlosti jsou však napěťové úrovně zcela </w:t>
      </w:r>
      <w:proofErr w:type="gramStart"/>
      <w:r w:rsidRPr="00556F4C">
        <w:t>odlišné: –10mV</w:t>
      </w:r>
      <w:proofErr w:type="gramEnd"/>
      <w:r w:rsidRPr="00556F4C">
        <w:t xml:space="preserve"> až 10mV pro logickou úroveň </w:t>
      </w:r>
      <w:r w:rsidRPr="0051064A">
        <w:t>L</w:t>
      </w:r>
      <w:r w:rsidRPr="00556F4C">
        <w:t xml:space="preserve"> a 360–440 </w:t>
      </w:r>
      <w:proofErr w:type="spellStart"/>
      <w:r w:rsidRPr="00556F4C">
        <w:t>mV</w:t>
      </w:r>
      <w:proofErr w:type="spellEnd"/>
      <w:r w:rsidRPr="00556F4C">
        <w:t xml:space="preserve"> pro logickou úroveň </w:t>
      </w:r>
      <w:r w:rsidRPr="0051064A">
        <w:t>H</w:t>
      </w:r>
      <w:r w:rsidRPr="00556F4C">
        <w:t xml:space="preserve">. </w:t>
      </w:r>
    </w:p>
    <w:p w:rsidR="00BF516A" w:rsidRPr="0051064A" w:rsidRDefault="00556F4C" w:rsidP="0051064A">
      <w:r w:rsidRPr="00556F4C">
        <w:t xml:space="preserve">Ovšem zmíněné úrovně </w:t>
      </w:r>
      <w:r w:rsidRPr="0051064A">
        <w:t>H</w:t>
      </w:r>
      <w:r w:rsidRPr="00556F4C">
        <w:t xml:space="preserve"> a </w:t>
      </w:r>
      <w:r w:rsidRPr="0051064A">
        <w:t>L</w:t>
      </w:r>
      <w:r w:rsidRPr="00556F4C">
        <w:t xml:space="preserve"> nereprezentují přímo přenášené bity, protože je použito poněkud upravené kódování NRZI. </w:t>
      </w:r>
    </w:p>
    <w:p w:rsidR="00A97C1D" w:rsidRDefault="00194EA8" w:rsidP="00670482">
      <w:r w:rsidRPr="0051064A">
        <w:t>Data jsou přenášena pomocí změně</w:t>
      </w:r>
      <w:r w:rsidR="00556F4C" w:rsidRPr="00556F4C">
        <w:t xml:space="preserve"> stavu datových linek. Rozeznávají se přitom dva stavy – </w:t>
      </w:r>
      <w:r w:rsidR="00556F4C" w:rsidRPr="0051064A">
        <w:t>J</w:t>
      </w:r>
      <w:r w:rsidR="00556F4C" w:rsidRPr="00556F4C">
        <w:t xml:space="preserve"> a </w:t>
      </w:r>
      <w:r w:rsidR="00556F4C" w:rsidRPr="0051064A">
        <w:t>K</w:t>
      </w:r>
      <w:r w:rsidR="00556F4C" w:rsidRPr="00556F4C">
        <w:t>. Samotný proud bitů je zakódován (inverzní) metodou NRZI, jejíž princip je velmi jednoduchý –</w:t>
      </w:r>
      <w:r w:rsidR="00670482">
        <w:t xml:space="preserve"> Nula je kódována signálem beze změny úrovně a jedničku kóduje změnou úrovně. </w:t>
      </w:r>
      <w:r w:rsidRPr="0051064A">
        <w:t xml:space="preserve">Pro zabezpečení synchronizace </w:t>
      </w:r>
      <w:r w:rsidR="00556F4C" w:rsidRPr="00556F4C">
        <w:t xml:space="preserve">přenášených dat, je v případě, že se v bitovém proudu vyskytne za sebou šest jedniček, navíc vložen bit s hodnotou nula, což znamená, že se „vynutí“ změna stavu na lince, čehož mohou obě komunikující strany využít k vzájemné synchronizaci hodin (přijímač se </w:t>
      </w:r>
      <w:proofErr w:type="spellStart"/>
      <w:r w:rsidR="00556F4C" w:rsidRPr="00556F4C">
        <w:t>zasynchronizuje</w:t>
      </w:r>
      <w:proofErr w:type="spellEnd"/>
      <w:r w:rsidR="00556F4C" w:rsidRPr="00556F4C">
        <w:t xml:space="preserve"> podle vysílače). Pokud by se na přenosové lince vyskytlo sedm za sebou jdoucích bitů s logickou hodnotou jedna, je to považováno za chybu.</w:t>
      </w:r>
    </w:p>
    <w:p w:rsidR="00A97C1D" w:rsidRPr="0051064A" w:rsidRDefault="00A97C1D" w:rsidP="00A97C1D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999230" cy="604520"/>
            <wp:effectExtent l="0" t="0" r="1270" b="5080"/>
            <wp:docPr id="24" name="Obrázek 24" descr="pc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c4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EB" w:rsidRPr="00F408EB" w:rsidRDefault="00DD5D8D" w:rsidP="0051064A">
      <w:r>
        <w:t>N</w:t>
      </w:r>
      <w:r w:rsidR="00F408EB" w:rsidRPr="00F408EB">
        <w:t>a dvou datových (signálových) vodičích je možné binárně zakódovat vždy jeden ze čtyř stavů. Tři z těchto stavů jsou povoleny, čtvrtý stav je za obvyklých podmínek zakázaný. Stav sběrnice, při níž jsou logické úrovně na signálových vodičích opačné, se označuje písmeny J nebo K, v závislosti na polaritě napětí měřeného mezi signálovými vodiči a zvolenou přenosovou rychlostí.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532"/>
        <w:gridCol w:w="1497"/>
        <w:gridCol w:w="3387"/>
      </w:tblGrid>
      <w:tr w:rsidR="00F408EB" w:rsidRPr="00F408EB" w:rsidTr="00F40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Stav sběrnice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Úroveň na vodiči D+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Úroveň na vodiči D-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Poznámka</w:t>
            </w:r>
          </w:p>
        </w:tc>
      </w:tr>
      <w:tr w:rsidR="00F408EB" w:rsidRPr="00F408EB" w:rsidTr="00F40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proofErr w:type="spellStart"/>
            <w:r w:rsidRPr="007D6E6A">
              <w:rPr>
                <w:sz w:val="18"/>
                <w:szCs w:val="18"/>
              </w:rPr>
              <w:t>Differential</w:t>
            </w:r>
            <w:proofErr w:type="spellEnd"/>
            <w:r w:rsidRPr="007D6E6A">
              <w:rPr>
                <w:sz w:val="18"/>
                <w:szCs w:val="18"/>
              </w:rPr>
              <w:t xml:space="preserve"> ‚1‘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představuje buď J či K podle zvolené rychlosti</w:t>
            </w:r>
          </w:p>
        </w:tc>
      </w:tr>
      <w:tr w:rsidR="00F408EB" w:rsidRPr="00F408EB" w:rsidTr="00F40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proofErr w:type="spellStart"/>
            <w:r w:rsidRPr="007D6E6A">
              <w:rPr>
                <w:sz w:val="18"/>
                <w:szCs w:val="18"/>
              </w:rPr>
              <w:t>Differential</w:t>
            </w:r>
            <w:proofErr w:type="spellEnd"/>
            <w:r w:rsidRPr="007D6E6A">
              <w:rPr>
                <w:sz w:val="18"/>
                <w:szCs w:val="18"/>
              </w:rPr>
              <w:t xml:space="preserve"> ‚0‘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představuje buď J či K podle zvolené rychlosti</w:t>
            </w:r>
          </w:p>
        </w:tc>
      </w:tr>
      <w:tr w:rsidR="00F408EB" w:rsidRPr="00F408EB" w:rsidTr="00F40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 xml:space="preserve">Single </w:t>
            </w:r>
            <w:proofErr w:type="spellStart"/>
            <w:r w:rsidRPr="007D6E6A">
              <w:rPr>
                <w:sz w:val="18"/>
                <w:szCs w:val="18"/>
              </w:rPr>
              <w:t>Ended</w:t>
            </w:r>
            <w:proofErr w:type="spellEnd"/>
            <w:r w:rsidRPr="007D6E6A">
              <w:rPr>
                <w:sz w:val="18"/>
                <w:szCs w:val="18"/>
              </w:rPr>
              <w:t xml:space="preserve"> </w:t>
            </w:r>
            <w:proofErr w:type="spellStart"/>
            <w:r w:rsidRPr="007D6E6A">
              <w:rPr>
                <w:sz w:val="18"/>
                <w:szCs w:val="18"/>
              </w:rPr>
              <w:t>Zero</w:t>
            </w:r>
            <w:proofErr w:type="spellEnd"/>
            <w:r w:rsidRPr="007D6E6A">
              <w:rPr>
                <w:sz w:val="18"/>
                <w:szCs w:val="18"/>
              </w:rPr>
              <w:t xml:space="preserve"> (SE0)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konec paketu, reset atd.</w:t>
            </w:r>
          </w:p>
        </w:tc>
      </w:tr>
      <w:tr w:rsidR="00F408EB" w:rsidRPr="00F408EB" w:rsidTr="00F40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 xml:space="preserve">Single </w:t>
            </w:r>
            <w:proofErr w:type="spellStart"/>
            <w:r w:rsidRPr="007D6E6A">
              <w:rPr>
                <w:sz w:val="18"/>
                <w:szCs w:val="18"/>
              </w:rPr>
              <w:t>Ended</w:t>
            </w:r>
            <w:proofErr w:type="spellEnd"/>
            <w:r w:rsidRPr="007D6E6A">
              <w:rPr>
                <w:sz w:val="18"/>
                <w:szCs w:val="18"/>
              </w:rPr>
              <w:t xml:space="preserve"> </w:t>
            </w:r>
            <w:proofErr w:type="spellStart"/>
            <w:r w:rsidRPr="007D6E6A">
              <w:rPr>
                <w:sz w:val="18"/>
                <w:szCs w:val="18"/>
              </w:rPr>
              <w:t>One</w:t>
            </w:r>
            <w:proofErr w:type="spellEnd"/>
            <w:r w:rsidRPr="007D6E6A">
              <w:rPr>
                <w:sz w:val="18"/>
                <w:szCs w:val="18"/>
              </w:rPr>
              <w:t xml:space="preserve"> (SE1)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F408EB" w:rsidRPr="007D6E6A" w:rsidRDefault="00F408EB" w:rsidP="0051064A">
            <w:pPr>
              <w:rPr>
                <w:sz w:val="18"/>
                <w:szCs w:val="18"/>
              </w:rPr>
            </w:pPr>
            <w:r w:rsidRPr="007D6E6A">
              <w:rPr>
                <w:sz w:val="18"/>
                <w:szCs w:val="18"/>
              </w:rPr>
              <w:t>nepovoleno</w:t>
            </w:r>
          </w:p>
        </w:tc>
      </w:tr>
    </w:tbl>
    <w:p w:rsidR="00F408EB" w:rsidRPr="00F408EB" w:rsidRDefault="00F408EB" w:rsidP="0051064A">
      <w:r w:rsidRPr="00F408EB">
        <w:t>Začátek a konec paketu</w:t>
      </w:r>
    </w:p>
    <w:p w:rsidR="00515973" w:rsidRDefault="00D7090F" w:rsidP="0051064A">
      <w:r w:rsidRPr="0051064A">
        <w:t xml:space="preserve">Jak již víme, tak </w:t>
      </w:r>
      <w:r w:rsidR="00F408EB" w:rsidRPr="00F408EB">
        <w:t xml:space="preserve">sběrnice je řízena vždy z kořenového uzlu. Tento uzel na zařízení, se kterým potřebuje komunikovat, pošle takzvaný token paket s příkazem, za ním typicky následuje datový paket (přenášený buď ze zařízení do kořenového uzlu či naopak) a komunikace je ukončena </w:t>
      </w:r>
      <w:proofErr w:type="spellStart"/>
      <w:r w:rsidR="00F408EB" w:rsidRPr="00F408EB">
        <w:t>handshake</w:t>
      </w:r>
      <w:proofErr w:type="spellEnd"/>
      <w:r w:rsidR="00F408EB" w:rsidRPr="00F408EB">
        <w:t xml:space="preserve"> paketem, ve kterém je potvrzen přenos dat nebo je naopak indikována nějaká chyba. Pokud je na sběrnici zapojen i rozbočovač (hub), je jeho povinností pakety směrovat do požadovaného uzlu v závislosti na přenášené adrese zařízení. </w:t>
      </w:r>
    </w:p>
    <w:p w:rsidR="00F408EB" w:rsidRPr="00F408EB" w:rsidRDefault="00F408EB" w:rsidP="0051064A">
      <w:r w:rsidRPr="00F408EB">
        <w:t>Každý paket začíná synchronizačním bajtem</w:t>
      </w:r>
      <w:r w:rsidR="00515973">
        <w:t xml:space="preserve">. Podle svého druhu </w:t>
      </w:r>
      <w:r w:rsidRPr="00F408EB">
        <w:t xml:space="preserve">může mít </w:t>
      </w:r>
      <w:r w:rsidR="00515973">
        <w:t>paket</w:t>
      </w:r>
      <w:r w:rsidRPr="00F408EB">
        <w:t xml:space="preserve"> různou délku, počet bitů je však vždy zarovnán na celé bajty. </w:t>
      </w:r>
      <w:r w:rsidR="0051064A">
        <w:t xml:space="preserve">Přenos celého paketu je ukončen sekvencí nazvanou </w:t>
      </w:r>
      <w:r w:rsidR="0051064A" w:rsidRPr="0051064A">
        <w:rPr>
          <w:b/>
          <w:bCs/>
        </w:rPr>
        <w:t>EOP</w:t>
      </w:r>
      <w:r w:rsidR="0051064A">
        <w:t xml:space="preserve"> (</w:t>
      </w:r>
      <w:r w:rsidR="0051064A" w:rsidRPr="0051064A">
        <w:t xml:space="preserve">End </w:t>
      </w:r>
      <w:proofErr w:type="spellStart"/>
      <w:r w:rsidR="0051064A" w:rsidRPr="0051064A">
        <w:t>of</w:t>
      </w:r>
      <w:proofErr w:type="spellEnd"/>
      <w:r w:rsidR="0051064A" w:rsidRPr="0051064A">
        <w:t xml:space="preserve"> </w:t>
      </w:r>
      <w:proofErr w:type="spellStart"/>
      <w:r w:rsidR="0051064A" w:rsidRPr="0051064A">
        <w:t>Packet</w:t>
      </w:r>
      <w:proofErr w:type="spellEnd"/>
      <w:r w:rsidR="00515973">
        <w:t>) tj.</w:t>
      </w:r>
      <w:r w:rsidR="0051064A">
        <w:t xml:space="preserve"> </w:t>
      </w:r>
      <w:r w:rsidR="00515973">
        <w:t>n</w:t>
      </w:r>
      <w:r w:rsidR="0051064A">
        <w:t xml:space="preserve">ejprve se na dobu přenosu dvou bitů nastaví stav </w:t>
      </w:r>
      <w:r w:rsidR="0051064A" w:rsidRPr="0051064A">
        <w:rPr>
          <w:b/>
          <w:bCs/>
        </w:rPr>
        <w:t>SE0</w:t>
      </w:r>
      <w:r w:rsidR="0051064A">
        <w:t xml:space="preserve">, po němž následuje přechod do stavu </w:t>
      </w:r>
      <w:r w:rsidR="0051064A" w:rsidRPr="0051064A">
        <w:rPr>
          <w:b/>
          <w:bCs/>
        </w:rPr>
        <w:t>J</w:t>
      </w:r>
      <w:r w:rsidR="0051064A">
        <w:t xml:space="preserve"> na dobu minimálně jednoho bitu. V tomto stavu může daný segment sběrnice setrvat po libovolně dlouhou dobu; jedná se o režim </w:t>
      </w:r>
      <w:proofErr w:type="spellStart"/>
      <w:r w:rsidR="0051064A" w:rsidRPr="0051064A">
        <w:t>idle</w:t>
      </w:r>
      <w:proofErr w:type="spellEnd"/>
      <w:r w:rsidR="0051064A">
        <w:t>.</w:t>
      </w:r>
    </w:p>
    <w:p w:rsidR="00F408EB" w:rsidRPr="00F408EB" w:rsidRDefault="00F408EB" w:rsidP="0051064A">
      <w:r w:rsidRPr="00F408EB">
        <w:t>Token paket</w:t>
      </w:r>
    </w:p>
    <w:p w:rsidR="00515973" w:rsidRDefault="00F408EB" w:rsidP="00515973">
      <w:r w:rsidRPr="00F408EB">
        <w:t xml:space="preserve">Prvním typem paketu, který kořenový uzel posílá do zvoleného zařízení, je takzvaný token paket. Tímto paketem kořenový uzel zvolené zařízení adresuje, specifikuje i jeho koncový bod (jedná se o logickou adresu v rámci zvoleného zařízení – použito u těch zařízení, které mají více funkcí, například se jedná o čtečky více typů paměťových karet) a mj. určuje, zda se data budou přenášet od kořenového uzlu do zařízení či naopak. </w:t>
      </w:r>
    </w:p>
    <w:p w:rsidR="00F408EB" w:rsidRPr="00F408EB" w:rsidRDefault="00F408EB" w:rsidP="00515973">
      <w:r w:rsidRPr="00F408EB">
        <w:t>Datové pakety</w:t>
      </w:r>
    </w:p>
    <w:p w:rsidR="00F408EB" w:rsidRPr="00F408EB" w:rsidRDefault="00F408EB" w:rsidP="0051064A">
      <w:r w:rsidRPr="00F408EB">
        <w:t xml:space="preserve">Po </w:t>
      </w:r>
      <w:proofErr w:type="gramStart"/>
      <w:r w:rsidRPr="00F408EB">
        <w:t>vyslání</w:t>
      </w:r>
      <w:r w:rsidR="00F47825" w:rsidRPr="0051064A">
        <w:t xml:space="preserve"> </w:t>
      </w:r>
      <w:r w:rsidRPr="00F408EB">
        <w:t xml:space="preserve"> token</w:t>
      </w:r>
      <w:proofErr w:type="gramEnd"/>
      <w:r w:rsidRPr="00F408EB">
        <w:t xml:space="preserve"> paketu může následovat datový paket, který je přenášen buď z adresovaného zařízení do kořenového uzlu či naopak. Pakety z této skupiny mají podobnou strukturu jako token paket: začínají synchronizačním bajtem následovaným identifikátorem paketu. Poté jsou přenesena data, za nimiž je uložen kontrolní </w:t>
      </w:r>
      <w:proofErr w:type="gramStart"/>
      <w:r w:rsidRPr="00F408EB">
        <w:t>součet  a EOP</w:t>
      </w:r>
      <w:proofErr w:type="gramEnd"/>
      <w:r w:rsidRPr="00F408EB">
        <w:t>:</w:t>
      </w:r>
    </w:p>
    <w:p w:rsidR="00F47825" w:rsidRPr="0051064A" w:rsidRDefault="00F47825" w:rsidP="0051064A">
      <w:r w:rsidRPr="0051064A">
        <w:t>Datové pakety jsou vícero typu v závislosti na standardu USB:</w:t>
      </w:r>
    </w:p>
    <w:p w:rsidR="00515973" w:rsidRDefault="00F408EB" w:rsidP="00515973">
      <w:r w:rsidRPr="00F408EB">
        <w:t>DATA0 a DATA1 se používají pro zařízení pracujícíc</w:t>
      </w:r>
      <w:r w:rsidR="00F47825" w:rsidRPr="0051064A">
        <w:t xml:space="preserve">h pomalou i normální rychlostí. </w:t>
      </w:r>
      <w:r w:rsidR="00F47825" w:rsidRPr="00F408EB">
        <w:t>DATA2 a MDATA</w:t>
      </w:r>
      <w:r w:rsidR="00CA7C32">
        <w:t xml:space="preserve"> se používají pro standard</w:t>
      </w:r>
      <w:r w:rsidR="00F47825" w:rsidRPr="0051064A">
        <w:t xml:space="preserve"> USB 2.0 a</w:t>
      </w:r>
      <w:r w:rsidRPr="00F408EB">
        <w:t xml:space="preserve"> umožňují přenášet data rozdělená do bloků o velikosti až jeden kilobajt. </w:t>
      </w:r>
    </w:p>
    <w:p w:rsidR="00F408EB" w:rsidRPr="00F408EB" w:rsidRDefault="00F408EB" w:rsidP="00515973">
      <w:proofErr w:type="spellStart"/>
      <w:r w:rsidRPr="00F408EB">
        <w:t>Handshake</w:t>
      </w:r>
      <w:proofErr w:type="spellEnd"/>
      <w:r w:rsidRPr="00F408EB">
        <w:t xml:space="preserve"> pakety</w:t>
      </w:r>
    </w:p>
    <w:p w:rsidR="00F47825" w:rsidRPr="0051064A" w:rsidRDefault="00F408EB" w:rsidP="0051064A">
      <w:r w:rsidRPr="00F408EB">
        <w:t xml:space="preserve">Pomocí této skupiny paketů oznamuje zařízení svůj stav kořenovému uzlu, popř. je možná i opačná varianta, podle směru přenosu dat. Jedná se o paket, který je vybraným zařízením poslaný ihned po příjmu datového paketu nebo naopak po pokusu o odvysílání datového paketu do kořenového uzlu. </w:t>
      </w:r>
    </w:p>
    <w:p w:rsidR="007D6E6A" w:rsidRDefault="00F408EB" w:rsidP="0051064A">
      <w:r w:rsidRPr="00F408EB">
        <w:t xml:space="preserve">Mezi </w:t>
      </w:r>
      <w:r w:rsidR="007D6E6A">
        <w:t>základní stavy přenosu patří:</w:t>
      </w:r>
    </w:p>
    <w:p w:rsidR="007D6E6A" w:rsidRDefault="00F408EB" w:rsidP="007D6E6A">
      <w:pPr>
        <w:pStyle w:val="Odstavecseseznamem"/>
        <w:numPr>
          <w:ilvl w:val="0"/>
          <w:numId w:val="3"/>
        </w:numPr>
      </w:pPr>
      <w:proofErr w:type="gramStart"/>
      <w:r w:rsidRPr="00F408EB">
        <w:t>A</w:t>
      </w:r>
      <w:r w:rsidR="007D6E6A">
        <w:t>CK</w:t>
      </w:r>
      <w:proofErr w:type="gramEnd"/>
      <w:r w:rsidR="007D6E6A">
        <w:t xml:space="preserve">– </w:t>
      </w:r>
      <w:proofErr w:type="gramStart"/>
      <w:r w:rsidR="007D6E6A">
        <w:t>potvrzení</w:t>
      </w:r>
      <w:proofErr w:type="gramEnd"/>
      <w:r w:rsidR="007D6E6A">
        <w:t xml:space="preserve"> vysílání/příjmu</w:t>
      </w:r>
    </w:p>
    <w:p w:rsidR="007D6E6A" w:rsidRDefault="00F408EB" w:rsidP="007D6E6A">
      <w:pPr>
        <w:pStyle w:val="Odstavecseseznamem"/>
        <w:numPr>
          <w:ilvl w:val="0"/>
          <w:numId w:val="3"/>
        </w:numPr>
      </w:pPr>
      <w:proofErr w:type="gramStart"/>
      <w:r w:rsidRPr="00F408EB">
        <w:t>NAK</w:t>
      </w:r>
      <w:proofErr w:type="gramEnd"/>
      <w:r w:rsidRPr="00F408EB">
        <w:t xml:space="preserve">– </w:t>
      </w:r>
      <w:proofErr w:type="gramStart"/>
      <w:r w:rsidRPr="00F408EB">
        <w:t>vysílání/příjem</w:t>
      </w:r>
      <w:proofErr w:type="gramEnd"/>
      <w:r w:rsidRPr="00F408EB">
        <w:t xml:space="preserve"> se nezda</w:t>
      </w:r>
      <w:r w:rsidR="00F47825" w:rsidRPr="0051064A">
        <w:t>řil, nejde však o trvalou chybu</w:t>
      </w:r>
      <w:r w:rsidRPr="00F408EB">
        <w:t xml:space="preserve">. </w:t>
      </w:r>
    </w:p>
    <w:p w:rsidR="007D6E6A" w:rsidRDefault="007D6E6A" w:rsidP="0051064A">
      <w:pPr>
        <w:pStyle w:val="Odstavecseseznamem"/>
        <w:numPr>
          <w:ilvl w:val="0"/>
          <w:numId w:val="3"/>
        </w:numPr>
      </w:pPr>
      <w:r>
        <w:t xml:space="preserve">STALL- </w:t>
      </w:r>
      <w:r w:rsidR="00F408EB" w:rsidRPr="00F408EB">
        <w:t>zařízení zjistí trvalou chybu</w:t>
      </w:r>
    </w:p>
    <w:p w:rsidR="007D6E6A" w:rsidRDefault="00F408EB" w:rsidP="007D6E6A">
      <w:pPr>
        <w:pStyle w:val="Odstavecseseznamem"/>
        <w:numPr>
          <w:ilvl w:val="0"/>
          <w:numId w:val="3"/>
        </w:numPr>
      </w:pPr>
      <w:r w:rsidRPr="00F408EB">
        <w:t>Při přenosu blokových dat v takzvaných rozdělených transakcích se používají stavy</w:t>
      </w:r>
      <w:r w:rsidR="007D6E6A">
        <w:t>:</w:t>
      </w:r>
    </w:p>
    <w:p w:rsidR="007D6E6A" w:rsidRDefault="00F408EB" w:rsidP="007D6E6A">
      <w:pPr>
        <w:pStyle w:val="Odstavecseseznamem"/>
        <w:numPr>
          <w:ilvl w:val="1"/>
          <w:numId w:val="3"/>
        </w:numPr>
      </w:pPr>
      <w:r w:rsidRPr="00F408EB">
        <w:t>NYET</w:t>
      </w:r>
      <w:r w:rsidR="00BA7398" w:rsidRPr="0051064A">
        <w:t xml:space="preserve"> – rozdělená t</w:t>
      </w:r>
      <w:r w:rsidR="007D6E6A">
        <w:t>ransakce ještě nebyla dokončena</w:t>
      </w:r>
    </w:p>
    <w:p w:rsidR="00F408EB" w:rsidRPr="00F408EB" w:rsidRDefault="00F408EB" w:rsidP="007D6E6A">
      <w:pPr>
        <w:pStyle w:val="Odstavecseseznamem"/>
        <w:numPr>
          <w:ilvl w:val="1"/>
          <w:numId w:val="3"/>
        </w:numPr>
      </w:pPr>
      <w:r w:rsidRPr="00F408EB">
        <w:t>ERR</w:t>
      </w:r>
      <w:r w:rsidR="00BA7398" w:rsidRPr="0051064A">
        <w:t xml:space="preserve"> - r</w:t>
      </w:r>
      <w:r w:rsidRPr="00F408EB">
        <w:t>ozdělené transakce jsou podporovány až ve standardu USB 2.0</w:t>
      </w:r>
    </w:p>
    <w:p w:rsidR="00F408EB" w:rsidRPr="00F408EB" w:rsidRDefault="00F408EB" w:rsidP="0051064A">
      <w:r w:rsidRPr="00F408EB">
        <w:t xml:space="preserve">Funkce </w:t>
      </w:r>
      <w:proofErr w:type="spellStart"/>
      <w:r w:rsidRPr="00F408EB">
        <w:t>suspend</w:t>
      </w:r>
      <w:proofErr w:type="spellEnd"/>
    </w:p>
    <w:p w:rsidR="00F408EB" w:rsidRPr="00F408EB" w:rsidRDefault="00F408EB" w:rsidP="0051064A">
      <w:r w:rsidRPr="00F408EB">
        <w:t xml:space="preserve">Zařízení může být kořenovým uzlem přepnuto do režimu </w:t>
      </w:r>
      <w:proofErr w:type="spellStart"/>
      <w:r w:rsidRPr="00F408EB">
        <w:t>idle</w:t>
      </w:r>
      <w:proofErr w:type="spellEnd"/>
      <w:r w:rsidRPr="00F408EB">
        <w:t xml:space="preserve">, který je po určité době nahrazen režimem </w:t>
      </w:r>
      <w:proofErr w:type="spellStart"/>
      <w:r w:rsidRPr="00F408EB">
        <w:t>suspend</w:t>
      </w:r>
      <w:proofErr w:type="spellEnd"/>
      <w:r w:rsidRPr="00F408EB">
        <w:t xml:space="preserve">. Po přenosu posledního paketu (s jeho korektním ukončením) zařízení přechází do režimu </w:t>
      </w:r>
      <w:proofErr w:type="spellStart"/>
      <w:r w:rsidRPr="00F408EB">
        <w:t>idle</w:t>
      </w:r>
      <w:proofErr w:type="spellEnd"/>
      <w:r w:rsidRPr="00F408EB">
        <w:t xml:space="preserve">, ve kterém očekává příjem dalších paketů. Pokud režim </w:t>
      </w:r>
      <w:proofErr w:type="spellStart"/>
      <w:r w:rsidRPr="00F408EB">
        <w:t>idle</w:t>
      </w:r>
      <w:proofErr w:type="spellEnd"/>
      <w:r w:rsidRPr="00F408EB">
        <w:t xml:space="preserve"> trvá alespoň 3ms, přechází se do režimu </w:t>
      </w:r>
      <w:proofErr w:type="spellStart"/>
      <w:r w:rsidRPr="00F408EB">
        <w:t>suspend</w:t>
      </w:r>
      <w:proofErr w:type="spellEnd"/>
      <w:r w:rsidRPr="00F408EB">
        <w:t>:</w:t>
      </w:r>
    </w:p>
    <w:p w:rsidR="00515973" w:rsidRDefault="00515973" w:rsidP="0051064A">
      <w:r>
        <w:t xml:space="preserve">Funkce </w:t>
      </w:r>
      <w:proofErr w:type="spellStart"/>
      <w:r>
        <w:t>resume</w:t>
      </w:r>
      <w:proofErr w:type="spellEnd"/>
    </w:p>
    <w:p w:rsidR="00F408EB" w:rsidRPr="00F408EB" w:rsidRDefault="00F408EB" w:rsidP="0051064A">
      <w:r w:rsidRPr="00F408EB">
        <w:t xml:space="preserve">Z režimu </w:t>
      </w:r>
      <w:proofErr w:type="spellStart"/>
      <w:r w:rsidRPr="00F408EB">
        <w:t>suspend</w:t>
      </w:r>
      <w:proofErr w:type="spellEnd"/>
      <w:r w:rsidRPr="00F408EB">
        <w:t xml:space="preserve"> se může z</w:t>
      </w:r>
      <w:r w:rsidR="00515973">
        <w:t>ařízení „probudit“ posloupností:</w:t>
      </w:r>
      <w:r w:rsidRPr="00F408EB">
        <w:t xml:space="preserve"> dojde ke změně napěťových úrovní na o</w:t>
      </w:r>
      <w:r w:rsidR="00BA7398" w:rsidRPr="0051064A">
        <w:t>bou signálových vodičích</w:t>
      </w:r>
      <w:r w:rsidR="00515973">
        <w:t>, pak</w:t>
      </w:r>
      <w:r w:rsidRPr="00F408EB">
        <w:t xml:space="preserve"> řídicí uzel nastaví stav SE0, který je následně změněn na stav J</w:t>
      </w:r>
      <w:r w:rsidR="00515973">
        <w:t xml:space="preserve"> a pak je již zařízení</w:t>
      </w:r>
      <w:r w:rsidRPr="00F408EB">
        <w:t xml:space="preserve"> připraveno přijmout synchronizační sekvenci a řídicí či datový paket.</w:t>
      </w:r>
    </w:p>
    <w:p w:rsidR="00515973" w:rsidRDefault="00515973" w:rsidP="0051064A">
      <w:r>
        <w:t>Funkce reset</w:t>
      </w:r>
    </w:p>
    <w:p w:rsidR="00F408EB" w:rsidRPr="00556F4C" w:rsidRDefault="00F408EB" w:rsidP="0051064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408EB">
        <w:t xml:space="preserve">Reset zařízení (přesněji řečeno pouze reset jeho komunikační části) se provádí posloupností signálů. Pokud se zařízení nachází v režimu </w:t>
      </w:r>
      <w:proofErr w:type="spellStart"/>
      <w:r w:rsidRPr="00F408EB">
        <w:t>idle</w:t>
      </w:r>
      <w:proofErr w:type="spellEnd"/>
      <w:r w:rsidRPr="00F408EB">
        <w:t xml:space="preserve">, postačuje, aby po dobu </w:t>
      </w:r>
      <w:r w:rsidR="007D6E6A">
        <w:t xml:space="preserve">několika milisekund </w:t>
      </w:r>
      <w:r w:rsidRPr="00F408EB">
        <w:t>byl nastavený stav SE0. Poté dojde k resetu komunikační části zařízení. Po uplynutí dalších několika milisekund lze začít s přenosem synchronizační sekvence a řídicího či datového paketu.</w:t>
      </w:r>
    </w:p>
    <w:sectPr w:rsidR="00F408EB" w:rsidRPr="00556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680"/>
    <w:multiLevelType w:val="hybridMultilevel"/>
    <w:tmpl w:val="2140FF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2879"/>
    <w:multiLevelType w:val="hybridMultilevel"/>
    <w:tmpl w:val="EF868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A3DBE"/>
    <w:multiLevelType w:val="hybridMultilevel"/>
    <w:tmpl w:val="BC4EA6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519D2"/>
    <w:multiLevelType w:val="hybridMultilevel"/>
    <w:tmpl w:val="6548E184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4A335586"/>
    <w:multiLevelType w:val="hybridMultilevel"/>
    <w:tmpl w:val="82B85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53"/>
    <w:rsid w:val="00154F53"/>
    <w:rsid w:val="00194EA8"/>
    <w:rsid w:val="003333DD"/>
    <w:rsid w:val="003E505B"/>
    <w:rsid w:val="003E665A"/>
    <w:rsid w:val="0051064A"/>
    <w:rsid w:val="00515973"/>
    <w:rsid w:val="00556F4C"/>
    <w:rsid w:val="005C23CC"/>
    <w:rsid w:val="00670482"/>
    <w:rsid w:val="006E339F"/>
    <w:rsid w:val="007D6E6A"/>
    <w:rsid w:val="008E7336"/>
    <w:rsid w:val="00A14F81"/>
    <w:rsid w:val="00A777DF"/>
    <w:rsid w:val="00A97C1D"/>
    <w:rsid w:val="00AD5D7E"/>
    <w:rsid w:val="00B60D3F"/>
    <w:rsid w:val="00BA7398"/>
    <w:rsid w:val="00BF516A"/>
    <w:rsid w:val="00C530BE"/>
    <w:rsid w:val="00C975C6"/>
    <w:rsid w:val="00CA7C32"/>
    <w:rsid w:val="00CE0AF8"/>
    <w:rsid w:val="00D7090F"/>
    <w:rsid w:val="00DD5D8D"/>
    <w:rsid w:val="00F408EB"/>
    <w:rsid w:val="00F47825"/>
    <w:rsid w:val="00F57C38"/>
    <w:rsid w:val="00F92858"/>
    <w:rsid w:val="00FB1794"/>
    <w:rsid w:val="00FE3045"/>
    <w:rsid w:val="00FF0B1B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556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665A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56F4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5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s-center">
    <w:name w:val="rs-center"/>
    <w:basedOn w:val="Normln"/>
    <w:rsid w:val="0055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56F4C"/>
    <w:rPr>
      <w:b/>
      <w:bCs/>
    </w:rPr>
  </w:style>
  <w:style w:type="paragraph" w:styleId="Odstavecseseznamem">
    <w:name w:val="List Paragraph"/>
    <w:basedOn w:val="Normln"/>
    <w:uiPriority w:val="34"/>
    <w:qFormat/>
    <w:rsid w:val="00A14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556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665A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56F4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5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s-center">
    <w:name w:val="rs-center"/>
    <w:basedOn w:val="Normln"/>
    <w:rsid w:val="0055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56F4C"/>
    <w:rPr>
      <w:b/>
      <w:bCs/>
    </w:rPr>
  </w:style>
  <w:style w:type="paragraph" w:styleId="Odstavecseseznamem">
    <w:name w:val="List Paragraph"/>
    <w:basedOn w:val="Normln"/>
    <w:uiPriority w:val="34"/>
    <w:qFormat/>
    <w:rsid w:val="00A1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1996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obyv</dc:creator>
  <cp:lastModifiedBy>Ing. Daniel Velek</cp:lastModifiedBy>
  <cp:revision>7</cp:revision>
  <cp:lastPrinted>2017-03-20T08:06:00Z</cp:lastPrinted>
  <dcterms:created xsi:type="dcterms:W3CDTF">2017-03-12T20:23:00Z</dcterms:created>
  <dcterms:modified xsi:type="dcterms:W3CDTF">2017-03-20T08:58:00Z</dcterms:modified>
</cp:coreProperties>
</file>