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细黑" w:hAnsi="华文细黑" w:eastAsia="华文细黑"/>
          <w:b/>
          <w:bCs/>
          <w:color w:val="333399"/>
          <w:sz w:val="32"/>
          <w:szCs w:val="32"/>
        </w:rPr>
      </w:pPr>
      <w:bookmarkStart w:id="0" w:name="_Toc201977253"/>
      <w:r>
        <w:rPr>
          <w:rFonts w:hint="eastAsia" w:ascii="华文细黑" w:hAnsi="华文细黑" w:eastAsia="华文细黑"/>
          <w:b/>
          <w:bCs/>
          <w:color w:val="333399"/>
          <w:sz w:val="32"/>
          <w:szCs w:val="32"/>
        </w:rPr>
        <w:t>华安证券</w:t>
      </w:r>
      <w:bookmarkEnd w:id="0"/>
      <w:r>
        <w:rPr>
          <w:rFonts w:hint="eastAsia" w:ascii="华文细黑" w:hAnsi="华文细黑" w:eastAsia="华文细黑"/>
          <w:b/>
          <w:bCs/>
          <w:color w:val="333399"/>
          <w:sz w:val="32"/>
          <w:szCs w:val="32"/>
        </w:rPr>
        <w:t>集中运营模块内部审批单</w:t>
      </w:r>
    </w:p>
    <w:p>
      <w:pPr>
        <w:jc w:val="center"/>
        <w:rPr>
          <w:rFonts w:ascii="华文细黑" w:hAnsi="华文细黑" w:eastAsia="华文细黑"/>
          <w:b/>
          <w:bCs/>
          <w:color w:val="333399"/>
          <w:sz w:val="32"/>
          <w:szCs w:val="32"/>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096"/>
        <w:gridCol w:w="2096"/>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trPr>
        <w:tc>
          <w:tcPr>
            <w:tcW w:w="2235" w:type="dxa"/>
            <w:vAlign w:val="center"/>
          </w:tcPr>
          <w:p>
            <w:pPr>
              <w:jc w:val="center"/>
            </w:pPr>
            <w:r>
              <w:rPr>
                <w:rFonts w:hint="eastAsia"/>
                <w:b/>
                <w:color w:val="333399"/>
              </w:rPr>
              <w:t>呈 报 人</w:t>
            </w:r>
          </w:p>
        </w:tc>
        <w:tc>
          <w:tcPr>
            <w:tcW w:w="6287" w:type="dxa"/>
            <w:gridSpan w:val="3"/>
          </w:tcPr>
          <w:p>
            <w:pPr>
              <w:jc w:val="center"/>
            </w:pPr>
          </w:p>
          <w:p>
            <w:pPr>
              <w:jc w:val="center"/>
            </w:pPr>
            <w:r>
              <w:rPr>
                <w:rFonts w:hint="eastAsia"/>
              </w:rPr>
              <w:t>完圣贤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呈报部门</w:t>
            </w:r>
          </w:p>
        </w:tc>
        <w:tc>
          <w:tcPr>
            <w:tcW w:w="6287" w:type="dxa"/>
            <w:gridSpan w:val="3"/>
          </w:tcPr>
          <w:p>
            <w:pPr>
              <w:jc w:val="center"/>
            </w:pPr>
          </w:p>
          <w:p>
            <w:pPr>
              <w:jc w:val="center"/>
            </w:pPr>
            <w:r>
              <w:rPr>
                <w:rFonts w:hint="eastAsia"/>
              </w:rPr>
              <w:t>运营管理部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呈报时间</w:t>
            </w:r>
          </w:p>
        </w:tc>
        <w:tc>
          <w:tcPr>
            <w:tcW w:w="6287" w:type="dxa"/>
            <w:gridSpan w:val="3"/>
          </w:tcPr>
          <w:p>
            <w:pPr>
              <w:jc w:val="center"/>
            </w:pPr>
          </w:p>
          <w:p>
            <w:pPr>
              <w:jc w:val="center"/>
              <w:rPr>
                <w:rFonts w:hint="default" w:eastAsiaTheme="minorEastAsia"/>
                <w:lang w:val="en-US" w:eastAsia="zh-CN"/>
              </w:rPr>
            </w:pPr>
            <w:r>
              <w:rPr>
                <w:rFonts w:hint="eastAsia"/>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事由或主题</w:t>
            </w:r>
          </w:p>
        </w:tc>
        <w:tc>
          <w:tcPr>
            <w:tcW w:w="6287" w:type="dxa"/>
            <w:gridSpan w:val="3"/>
          </w:tcPr>
          <w:p>
            <w:pPr>
              <w:jc w:val="center"/>
            </w:pPr>
          </w:p>
          <w:p>
            <w:pPr>
              <w:jc w:val="center"/>
              <w:rPr>
                <w:rFonts w:hint="default" w:eastAsiaTheme="minorEastAsia"/>
                <w:lang w:val="en-US" w:eastAsia="zh-CN"/>
              </w:rPr>
            </w:pPr>
            <w:r>
              <w:rPr>
                <w:rFonts w:hint="eastAsia"/>
              </w:rPr>
              <w:t>生产环境</w:t>
            </w:r>
            <w:r>
              <w:rPr>
                <w:rFonts w:hint="eastAsia"/>
                <w:lang w:eastAsia="zh-CN"/>
              </w:rPr>
              <w:t>产品开户业务</w:t>
            </w:r>
            <w:r>
              <w:rPr>
                <w:rFonts w:hint="eastAsia"/>
                <w:lang w:val="en-US" w:eastAsia="zh-CN"/>
              </w:rPr>
              <w:t>BOP过滤规则修改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5" w:hRule="atLeast"/>
        </w:trPr>
        <w:tc>
          <w:tcPr>
            <w:tcW w:w="2235" w:type="dxa"/>
            <w:vAlign w:val="center"/>
          </w:tcPr>
          <w:p>
            <w:pPr>
              <w:jc w:val="center"/>
              <w:rPr>
                <w:b/>
                <w:color w:val="333399"/>
              </w:rPr>
            </w:pPr>
            <w:r>
              <w:rPr>
                <w:rFonts w:hint="eastAsia"/>
                <w:b/>
                <w:color w:val="333399"/>
              </w:rPr>
              <w:t>正文</w:t>
            </w:r>
          </w:p>
        </w:tc>
        <w:tc>
          <w:tcPr>
            <w:tcW w:w="6287" w:type="dxa"/>
            <w:gridSpan w:val="3"/>
          </w:tcPr>
          <w:p>
            <w:pPr>
              <w:jc w:val="left"/>
            </w:pPr>
            <w:r>
              <w:rPr>
                <w:rFonts w:hint="eastAsia"/>
              </w:rPr>
              <w:t xml:space="preserve">   </w:t>
            </w:r>
          </w:p>
          <w:p>
            <w:pPr>
              <w:jc w:val="left"/>
            </w:pPr>
          </w:p>
          <w:p>
            <w:pPr>
              <w:ind w:firstLine="420"/>
              <w:jc w:val="left"/>
              <w:rPr>
                <w:rFonts w:hint="eastAsia"/>
                <w:lang w:val="en-US" w:eastAsia="zh-CN"/>
              </w:rPr>
            </w:pPr>
            <w:r>
              <w:rPr>
                <w:rFonts w:hint="eastAsia"/>
                <w:lang w:eastAsia="zh-CN"/>
              </w:rPr>
              <w:t>根据</w:t>
            </w:r>
            <w:r>
              <w:rPr>
                <w:rFonts w:hint="eastAsia"/>
                <w:lang w:val="en-US" w:eastAsia="zh-CN"/>
              </w:rPr>
              <w:t>实际生产要求</w:t>
            </w:r>
            <w:r>
              <w:rPr>
                <w:rFonts w:hint="eastAsia"/>
              </w:rPr>
              <w:t>，</w:t>
            </w:r>
            <w:r>
              <w:rPr>
                <w:rFonts w:hint="eastAsia"/>
                <w:lang w:eastAsia="zh-CN"/>
              </w:rPr>
              <w:t>现将生产环境</w:t>
            </w:r>
            <w:r>
              <w:rPr>
                <w:rFonts w:hint="eastAsia"/>
                <w:lang w:val="en-US" w:eastAsia="zh-CN"/>
              </w:rPr>
              <w:t>BOP</w:t>
            </w:r>
            <w:r>
              <w:rPr>
                <w:rFonts w:hint="eastAsia"/>
                <w:lang w:eastAsia="zh-CN"/>
              </w:rPr>
              <w:t>系统</w:t>
            </w:r>
            <w:r>
              <w:rPr>
                <w:rFonts w:hint="eastAsia"/>
                <w:lang w:val="en-US" w:eastAsia="zh-CN"/>
              </w:rPr>
              <w:t>中做如下调整：</w:t>
            </w:r>
          </w:p>
          <w:p>
            <w:pPr>
              <w:numPr>
                <w:ilvl w:val="0"/>
                <w:numId w:val="1"/>
              </w:numPr>
              <w:ind w:firstLine="420" w:firstLineChars="200"/>
              <w:jc w:val="left"/>
              <w:rPr>
                <w:rFonts w:hint="eastAsia"/>
                <w:lang w:eastAsia="zh-CN"/>
              </w:rPr>
            </w:pPr>
            <w:r>
              <w:rPr>
                <w:rFonts w:hint="eastAsia"/>
                <w:lang w:eastAsia="zh-CN"/>
              </w:rPr>
              <w:t>产品开户业务的新意扫描参数中双录视频与新开股东账户适当性相关事项告知书的过滤规则改为</w:t>
            </w:r>
            <w:r>
              <w:rPr>
                <w:rFonts w:hint="eastAsia"/>
                <w:lang w:val="en-US" w:eastAsia="zh-CN"/>
              </w:rPr>
              <w:t>[prof_type]!='A'</w:t>
            </w:r>
          </w:p>
          <w:p>
            <w:pPr>
              <w:numPr>
                <w:ilvl w:val="0"/>
                <w:numId w:val="0"/>
              </w:numPr>
              <w:jc w:val="left"/>
              <w:rPr>
                <w:rFonts w:hint="eastAsia"/>
                <w:lang w:eastAsia="zh-CN"/>
              </w:rPr>
            </w:pP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2235" w:type="dxa"/>
            <w:vAlign w:val="center"/>
          </w:tcPr>
          <w:p>
            <w:pPr>
              <w:widowControl/>
              <w:spacing w:line="360" w:lineRule="auto"/>
              <w:ind w:left="105" w:leftChars="50" w:right="105" w:rightChars="50"/>
              <w:jc w:val="center"/>
              <w:rPr>
                <w:rFonts w:ascii="宋体" w:hAnsi="宋体" w:eastAsia="宋体" w:cs="宋体"/>
                <w:b/>
                <w:color w:val="333399"/>
                <w:kern w:val="0"/>
                <w:sz w:val="24"/>
                <w:szCs w:val="24"/>
              </w:rPr>
            </w:pPr>
          </w:p>
          <w:p>
            <w:pPr>
              <w:widowControl/>
              <w:spacing w:line="360" w:lineRule="auto"/>
              <w:ind w:left="105" w:leftChars="50" w:right="105" w:rightChars="50"/>
              <w:jc w:val="center"/>
              <w:rPr>
                <w:rFonts w:ascii="宋体" w:hAnsi="宋体" w:eastAsia="宋体" w:cs="宋体"/>
                <w:kern w:val="0"/>
                <w:sz w:val="24"/>
                <w:szCs w:val="24"/>
              </w:rPr>
            </w:pPr>
            <w:r>
              <w:rPr>
                <w:rFonts w:hint="eastAsia" w:ascii="宋体" w:hAnsi="宋体" w:eastAsia="宋体" w:cs="宋体"/>
                <w:b/>
                <w:color w:val="333399"/>
                <w:kern w:val="0"/>
                <w:sz w:val="24"/>
                <w:szCs w:val="24"/>
              </w:rPr>
              <w:t>模块负责人</w:t>
            </w:r>
          </w:p>
          <w:p>
            <w:pPr>
              <w:widowControl/>
              <w:spacing w:line="360" w:lineRule="auto"/>
              <w:ind w:left="105" w:leftChars="50" w:right="105" w:rightChars="50"/>
              <w:jc w:val="center"/>
              <w:rPr>
                <w:rFonts w:ascii="宋体" w:hAnsi="宋体" w:eastAsia="宋体" w:cs="宋体"/>
                <w:kern w:val="0"/>
                <w:sz w:val="24"/>
                <w:szCs w:val="24"/>
              </w:rPr>
            </w:pPr>
            <w:r>
              <w:rPr>
                <w:rFonts w:hint="eastAsia" w:ascii="宋体" w:hAnsi="宋体" w:eastAsia="宋体" w:cs="宋体"/>
                <w:b/>
                <w:color w:val="333399"/>
                <w:kern w:val="0"/>
                <w:sz w:val="24"/>
                <w:szCs w:val="24"/>
              </w:rPr>
              <w:t>意   见</w:t>
            </w:r>
          </w:p>
          <w:p>
            <w:pPr>
              <w:jc w:val="center"/>
              <w:rPr>
                <w:b/>
                <w:color w:val="333399"/>
              </w:rPr>
            </w:pPr>
          </w:p>
          <w:p>
            <w:pPr>
              <w:jc w:val="center"/>
              <w:rPr>
                <w:b/>
                <w:color w:val="333399"/>
              </w:rPr>
            </w:pPr>
          </w:p>
        </w:tc>
        <w:tc>
          <w:tcPr>
            <w:tcW w:w="6287"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2235" w:type="dxa"/>
            <w:vAlign w:val="center"/>
          </w:tcPr>
          <w:p>
            <w:pPr>
              <w:jc w:val="center"/>
              <w:rPr>
                <w:b/>
                <w:color w:val="333399"/>
              </w:rPr>
            </w:pPr>
            <w:r>
              <w:rPr>
                <w:rFonts w:hint="eastAsia"/>
                <w:b/>
                <w:color w:val="333399"/>
              </w:rPr>
              <w:t>经办人</w:t>
            </w:r>
          </w:p>
        </w:tc>
        <w:tc>
          <w:tcPr>
            <w:tcW w:w="2096" w:type="dxa"/>
          </w:tcPr>
          <w:p>
            <w:pPr>
              <w:jc w:val="center"/>
            </w:pPr>
          </w:p>
        </w:tc>
        <w:tc>
          <w:tcPr>
            <w:tcW w:w="2096" w:type="dxa"/>
            <w:vAlign w:val="center"/>
          </w:tcPr>
          <w:p>
            <w:pPr>
              <w:jc w:val="center"/>
            </w:pPr>
            <w:r>
              <w:rPr>
                <w:rFonts w:hint="eastAsia"/>
                <w:b/>
                <w:color w:val="333399"/>
              </w:rPr>
              <w:t>复核人</w:t>
            </w:r>
          </w:p>
        </w:tc>
        <w:tc>
          <w:tcPr>
            <w:tcW w:w="2095" w:type="dxa"/>
          </w:tcPr>
          <w:p>
            <w:pPr>
              <w:jc w:val="center"/>
            </w:pPr>
          </w:p>
        </w:tc>
      </w:tr>
    </w:tbl>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D03345"/>
    <w:multiLevelType w:val="singleLevel"/>
    <w:tmpl w:val="D9D0334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975BC"/>
    <w:rsid w:val="000C34DE"/>
    <w:rsid w:val="000D5248"/>
    <w:rsid w:val="00146039"/>
    <w:rsid w:val="001F08D1"/>
    <w:rsid w:val="00294F3E"/>
    <w:rsid w:val="002E4F44"/>
    <w:rsid w:val="003A3C2C"/>
    <w:rsid w:val="003F05EE"/>
    <w:rsid w:val="0041284A"/>
    <w:rsid w:val="00423432"/>
    <w:rsid w:val="0042604E"/>
    <w:rsid w:val="0044044B"/>
    <w:rsid w:val="00452659"/>
    <w:rsid w:val="00471459"/>
    <w:rsid w:val="004863E9"/>
    <w:rsid w:val="00595830"/>
    <w:rsid w:val="005B5D1E"/>
    <w:rsid w:val="0065605F"/>
    <w:rsid w:val="006C7F73"/>
    <w:rsid w:val="00722D98"/>
    <w:rsid w:val="0072698E"/>
    <w:rsid w:val="00790B62"/>
    <w:rsid w:val="007A4124"/>
    <w:rsid w:val="00850F06"/>
    <w:rsid w:val="00865DB4"/>
    <w:rsid w:val="00886AE5"/>
    <w:rsid w:val="008961AA"/>
    <w:rsid w:val="00964A4C"/>
    <w:rsid w:val="0096777E"/>
    <w:rsid w:val="009758C5"/>
    <w:rsid w:val="00991D85"/>
    <w:rsid w:val="009A1E6E"/>
    <w:rsid w:val="00A03669"/>
    <w:rsid w:val="00A10D8E"/>
    <w:rsid w:val="00A12051"/>
    <w:rsid w:val="00A303F2"/>
    <w:rsid w:val="00A311B5"/>
    <w:rsid w:val="00A7170B"/>
    <w:rsid w:val="00A82F19"/>
    <w:rsid w:val="00A9365D"/>
    <w:rsid w:val="00A946A2"/>
    <w:rsid w:val="00A97EF4"/>
    <w:rsid w:val="00B12DED"/>
    <w:rsid w:val="00B7431B"/>
    <w:rsid w:val="00B87AC8"/>
    <w:rsid w:val="00B975BC"/>
    <w:rsid w:val="00BD6EFE"/>
    <w:rsid w:val="00C762F4"/>
    <w:rsid w:val="00CF1C3A"/>
    <w:rsid w:val="00D304C3"/>
    <w:rsid w:val="00E06866"/>
    <w:rsid w:val="00E41859"/>
    <w:rsid w:val="00E840B0"/>
    <w:rsid w:val="00F05021"/>
    <w:rsid w:val="00F433EE"/>
    <w:rsid w:val="08B717E2"/>
    <w:rsid w:val="18714467"/>
    <w:rsid w:val="73165256"/>
    <w:rsid w:val="75913D06"/>
    <w:rsid w:val="7E25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semiHidden/>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FollowedHyperlink"/>
    <w:basedOn w:val="6"/>
    <w:semiHidden/>
    <w:unhideWhenUsed/>
    <w:uiPriority w:val="99"/>
    <w:rPr>
      <w:color w:val="555555"/>
      <w:u w:val="none"/>
    </w:rPr>
  </w:style>
  <w:style w:type="character" w:styleId="8">
    <w:name w:val="Hyperlink"/>
    <w:basedOn w:val="6"/>
    <w:semiHidden/>
    <w:unhideWhenUsed/>
    <w:uiPriority w:val="99"/>
    <w:rPr>
      <w:color w:val="555555"/>
      <w:u w:val="none"/>
    </w:rPr>
  </w:style>
  <w:style w:type="character" w:customStyle="1" w:styleId="9">
    <w:name w:val="页眉 Char"/>
    <w:basedOn w:val="6"/>
    <w:link w:val="3"/>
    <w:semiHidden/>
    <w:qFormat/>
    <w:uiPriority w:val="99"/>
    <w:rPr>
      <w:sz w:val="18"/>
      <w:szCs w:val="18"/>
    </w:rPr>
  </w:style>
  <w:style w:type="character" w:customStyle="1" w:styleId="10">
    <w:name w:val="页脚 Char"/>
    <w:basedOn w:val="6"/>
    <w:link w:val="2"/>
    <w:semiHidden/>
    <w:qFormat/>
    <w:uiPriority w:val="99"/>
    <w:rPr>
      <w:sz w:val="18"/>
      <w:szCs w:val="18"/>
    </w:rPr>
  </w:style>
  <w:style w:type="character" w:customStyle="1" w:styleId="11">
    <w:name w:val="target_fixed"/>
    <w:basedOn w:val="6"/>
    <w:qFormat/>
    <w:uiPriority w:val="0"/>
  </w:style>
  <w:style w:type="character" w:customStyle="1" w:styleId="12">
    <w:name w:val="on"/>
    <w:basedOn w:val="6"/>
    <w:uiPriority w:val="0"/>
    <w:rPr>
      <w:vanish/>
      <w:shd w:val="clear" w:fill="FFFFF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Words>
  <Characters>209</Characters>
  <Lines>1</Lines>
  <Paragraphs>1</Paragraphs>
  <TotalTime>18</TotalTime>
  <ScaleCrop>false</ScaleCrop>
  <LinksUpToDate>false</LinksUpToDate>
  <CharactersWithSpaces>244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2018-07-25T00:50:00Z</dcterms:created>
  <dc:creator>完圣贤</dc:creator>
  <cp:lastModifiedBy>周三围</cp:lastModifiedBy>
  <cp:lastPrinted>2018-08-10T03:48:00Z</cp:lastPrinted>
  <dcterms:modified xsi:type="dcterms:W3CDTF">2020-03-28T10:00:23Z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