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color w:val="5B6770"/>
          <w:sz w:val="22"/>
          <w:szCs w:val="22"/>
        </w:rPr>
        <w:t xml:space="preserve">IDB201 – Introduction to Databases</w:t>
      </w:r>
    </w:p>
    <w:p>
      <w:pPr>
        <w:pStyle w:val="Title"/>
      </w:pPr>
      <w:r>
        <w:t xml:space="preserve">Progress test 1</w:t>
      </w:r>
    </w:p>
    <w:p>
      <w:pPr>
        <w:spacing w:after="160"/>
      </w:pPr>
      <w:r>
        <w:rPr>
          <w:rFonts w:ascii="Cambria" w:cs="Cambria" w:eastAsia="Cambria" w:hAnsi="Cambria"/>
          <w:i/>
          <w:iCs/>
          <w:color w:val="1F3B4D"/>
          <w:sz w:val="26"/>
          <w:szCs w:val="26"/>
        </w:rPr>
        <w:t xml:space="preserve">Chapters 1–5 and their self-study readings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Session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30 minutes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Coverage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Chapters 1–5 (DSC Ch. 1–4, §5.1–5.4, §5.5) including the self-study readings (relational calculus, bag semantics, §4.7, §5.5, §9.8) and the constructivist questions CQ1–CQ4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20 multiple-choice questions; one correct answer per question; 0.5 point each (10 points in total)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5% of the course grade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CLOs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CLO1, CLO2, CLO3, CLO4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8" w:sz="4"/>
              <w:left w:val="single" w:color="C8553D" w:sz="2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8553D"/>
              </w:rPr>
              <w:t xml:space="preserve">Instructions</w:t>
            </w:r>
          </w:p>
          <w:p>
            <w:pPr>
              <w:spacing w:after="60"/>
            </w:pPr>
            <w:r>
              <w:t xml:space="preserve">Choose the single best answer for each question. No books, notes or devices are allowed. In the code fragments, SQL keywords are written in lower case as in the textbook.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Questions</w:t>
      </w:r>
    </w:p>
    <w:p>
      <w:pPr>
        <w:keepNext/>
        <w:spacing w:after="60" w:before="160"/>
      </w:pPr>
      <w:r>
        <w:rPr>
          <w:b/>
          <w:bCs/>
        </w:rPr>
        <w:t xml:space="preserve">1. </w:t>
      </w:r>
      <w:r>
        <w:t xml:space="preserve">Which change requires physical data independence to keep applications unchanged?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Moving a relation to a new file organization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Changing the meaning of an attribute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Renaming a relation used by the applications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Adding a new attribute that the applications use</w:t>
      </w:r>
    </w:p>
    <w:p>
      <w:pPr>
        <w:keepNext/>
        <w:spacing w:after="60" w:before="160"/>
      </w:pPr>
      <w:r>
        <w:rPr>
          <w:b/>
          <w:bCs/>
        </w:rPr>
        <w:t xml:space="preserve">2. </w:t>
      </w:r>
      <w:r>
        <w:t xml:space="preserve">Which DBMS component ensures that concurrent transactions do not interfere with each other?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File manager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Concurrency-control manager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DDL interpreter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Buffer manager</w:t>
      </w:r>
    </w:p>
    <w:p>
      <w:pPr>
        <w:keepNext/>
        <w:spacing w:after="60" w:before="160"/>
      </w:pPr>
      <w:r>
        <w:rPr>
          <w:b/>
          <w:bCs/>
        </w:rPr>
        <w:t xml:space="preserve">3. </w:t>
      </w:r>
      <w:r>
        <w:t xml:space="preserve">R(A, B, C, D) has exactly one candidate key, {A, B}. How many superkeys does R have?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2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4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8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16</w:t>
      </w:r>
    </w:p>
    <w:p>
      <w:pPr>
        <w:keepNext/>
        <w:spacing w:after="60" w:before="160"/>
      </w:pPr>
      <w:r>
        <w:rPr>
          <w:b/>
          <w:bCs/>
        </w:rPr>
        <w:t xml:space="preserve">4. </w:t>
      </w:r>
      <w:r>
        <w:t xml:space="preserve">How many tuples does r </w:t>
      </w:r>
      <w:r>
        <w:rPr>
          <w:rFonts w:ascii="Cambria Math" w:cs="Cambria Math" w:eastAsia="Cambria Math" w:hAnsi="Cambria Math"/>
        </w:rPr>
        <w:t xml:space="preserve">⋈</w:t>
      </w:r>
      <w:r>
        <w:t xml:space="preserve"> s contain?</w:t>
      </w:r>
    </w:p>
    <w:p>
      <w:pPr>
        <w:shd w:fill="F4F6F7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r(A, B) = {(1, x), (2, y), (3, x)}</w:t>
      </w:r>
    </w:p>
    <w:p>
      <w:pPr>
        <w:shd w:fill="F4F6F7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s(B, C) = {(x, 5), (z, 6)}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1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2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3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6</w:t>
      </w:r>
    </w:p>
    <w:p>
      <w:pPr>
        <w:keepNext/>
        <w:spacing w:after="60" w:before="160"/>
      </w:pPr>
      <w:r>
        <w:rPr>
          <w:b/>
          <w:bCs/>
        </w:rPr>
        <w:t xml:space="preserve">5. </w:t>
      </w:r>
      <w:r>
        <w:t xml:space="preserve">Which expression returns the IDs of instructors who teach no course? (instructor(ID, …), teaches(ID, course_id, …))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rPr>
          <w:rFonts w:ascii="Cambria Math" w:cs="Cambria Math" w:eastAsia="Cambria Math" w:hAnsi="Cambria Math"/>
        </w:rPr>
        <w:t xml:space="preserve">Π</w:t>
      </w:r>
      <w:r>
        <w:t xml:space="preserve">_ID(instructor </w:t>
      </w:r>
      <w:r>
        <w:rPr>
          <w:rFonts w:ascii="Cambria Math" w:cs="Cambria Math" w:eastAsia="Cambria Math" w:hAnsi="Cambria Math"/>
        </w:rPr>
        <w:t xml:space="preserve">⋈</w:t>
      </w:r>
      <w:r>
        <w:t xml:space="preserve"> teaches)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rPr>
          <w:rFonts w:ascii="Cambria Math" w:cs="Cambria Math" w:eastAsia="Cambria Math" w:hAnsi="Cambria Math"/>
        </w:rPr>
        <w:t xml:space="preserve">Π</w:t>
      </w:r>
      <w:r>
        <w:t xml:space="preserve">_ID(teaches) </w:t>
      </w:r>
      <w:r>
        <w:rPr>
          <w:rFonts w:ascii="Cambria Math" w:cs="Cambria Math" w:eastAsia="Cambria Math" w:hAnsi="Cambria Math"/>
        </w:rPr>
        <w:t xml:space="preserve">−</w:t>
      </w:r>
      <w:r>
        <w:t xml:space="preserve"> </w:t>
      </w:r>
      <w:r>
        <w:rPr>
          <w:rFonts w:ascii="Cambria Math" w:cs="Cambria Math" w:eastAsia="Cambria Math" w:hAnsi="Cambria Math"/>
        </w:rPr>
        <w:t xml:space="preserve">Π</w:t>
      </w:r>
      <w:r>
        <w:t xml:space="preserve">_ID(instructor)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rPr>
          <w:rFonts w:ascii="Cambria Math" w:cs="Cambria Math" w:eastAsia="Cambria Math" w:hAnsi="Cambria Math"/>
        </w:rPr>
        <w:t xml:space="preserve">σ</w:t>
      </w:r>
      <w:r>
        <w:t xml:space="preserve">_course_id = null(instructor </w:t>
      </w:r>
      <w:r>
        <w:rPr>
          <w:rFonts w:ascii="Cambria Math" w:cs="Cambria Math" w:eastAsia="Cambria Math" w:hAnsi="Cambria Math"/>
        </w:rPr>
        <w:t xml:space="preserve">⋈</w:t>
      </w:r>
      <w:r>
        <w:t xml:space="preserve"> teaches)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rPr>
          <w:rFonts w:ascii="Cambria Math" w:cs="Cambria Math" w:eastAsia="Cambria Math" w:hAnsi="Cambria Math"/>
        </w:rPr>
        <w:t xml:space="preserve">Π</w:t>
      </w:r>
      <w:r>
        <w:t xml:space="preserve">_ID(instructor) </w:t>
      </w:r>
      <w:r>
        <w:rPr>
          <w:rFonts w:ascii="Cambria Math" w:cs="Cambria Math" w:eastAsia="Cambria Math" w:hAnsi="Cambria Math"/>
        </w:rPr>
        <w:t xml:space="preserve">−</w:t>
      </w:r>
      <w:r>
        <w:t xml:space="preserve"> </w:t>
      </w:r>
      <w:r>
        <w:rPr>
          <w:rFonts w:ascii="Cambria Math" w:cs="Cambria Math" w:eastAsia="Cambria Math" w:hAnsi="Cambria Math"/>
        </w:rPr>
        <w:t xml:space="preserve">Π</w:t>
      </w:r>
      <w:r>
        <w:t xml:space="preserve">_ID(teaches)</w:t>
      </w:r>
    </w:p>
    <w:p>
      <w:pPr>
        <w:keepNext/>
        <w:spacing w:after="60" w:before="160"/>
      </w:pPr>
      <w:r>
        <w:rPr>
          <w:b/>
          <w:bCs/>
        </w:rPr>
        <w:t xml:space="preserve">6. </w:t>
      </w:r>
      <w:r>
        <w:t xml:space="preserve">In the tuple relational calculus, which expression is NOT safe?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{t | t </w:t>
      </w:r>
      <w:r>
        <w:rPr>
          <w:rFonts w:ascii="Cambria Math" w:cs="Cambria Math" w:eastAsia="Cambria Math" w:hAnsi="Cambria Math"/>
        </w:rPr>
        <w:t xml:space="preserve">∈</w:t>
      </w:r>
      <w:r>
        <w:t xml:space="preserve"> student </w:t>
      </w:r>
      <w:r>
        <w:rPr>
          <w:rFonts w:ascii="Cambria Math" w:cs="Cambria Math" w:eastAsia="Cambria Math" w:hAnsi="Cambria Math"/>
        </w:rPr>
        <w:t xml:space="preserve">∧</w:t>
      </w:r>
      <w:r>
        <w:t xml:space="preserve"> </w:t>
      </w:r>
      <w:r>
        <w:rPr>
          <w:rFonts w:ascii="Cambria Math" w:cs="Cambria Math" w:eastAsia="Cambria Math" w:hAnsi="Cambria Math"/>
        </w:rPr>
        <w:t xml:space="preserve">¬</w:t>
      </w:r>
      <w:r>
        <w:t xml:space="preserve"> (t[dept_name] = 'Physics')}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{t | </w:t>
      </w:r>
      <w:r>
        <w:rPr>
          <w:rFonts w:ascii="Cambria Math" w:cs="Cambria Math" w:eastAsia="Cambria Math" w:hAnsi="Cambria Math"/>
        </w:rPr>
        <w:t xml:space="preserve">∃</w:t>
      </w:r>
      <w:r>
        <w:t xml:space="preserve"> s </w:t>
      </w:r>
      <w:r>
        <w:rPr>
          <w:rFonts w:ascii="Cambria Math" w:cs="Cambria Math" w:eastAsia="Cambria Math" w:hAnsi="Cambria Math"/>
        </w:rPr>
        <w:t xml:space="preserve">∈</w:t>
      </w:r>
      <w:r>
        <w:t xml:space="preserve"> student (t[ID] = s[ID])}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{t | </w:t>
      </w:r>
      <w:r>
        <w:rPr>
          <w:rFonts w:ascii="Cambria Math" w:cs="Cambria Math" w:eastAsia="Cambria Math" w:hAnsi="Cambria Math"/>
        </w:rPr>
        <w:t xml:space="preserve">¬</w:t>
      </w:r>
      <w:r>
        <w:t xml:space="preserve"> (t </w:t>
      </w:r>
      <w:r>
        <w:rPr>
          <w:rFonts w:ascii="Cambria Math" w:cs="Cambria Math" w:eastAsia="Cambria Math" w:hAnsi="Cambria Math"/>
        </w:rPr>
        <w:t xml:space="preserve">∈</w:t>
      </w:r>
      <w:r>
        <w:t xml:space="preserve"> student)}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{t | t </w:t>
      </w:r>
      <w:r>
        <w:rPr>
          <w:rFonts w:ascii="Cambria Math" w:cs="Cambria Math" w:eastAsia="Cambria Math" w:hAnsi="Cambria Math"/>
        </w:rPr>
        <w:t xml:space="preserve">∈</w:t>
      </w:r>
      <w:r>
        <w:t xml:space="preserve"> student </w:t>
      </w:r>
      <w:r>
        <w:rPr>
          <w:rFonts w:ascii="Cambria Math" w:cs="Cambria Math" w:eastAsia="Cambria Math" w:hAnsi="Cambria Math"/>
        </w:rPr>
        <w:t xml:space="preserve">∧</w:t>
      </w:r>
      <w:r>
        <w:t xml:space="preserve"> t[tot_cred] &gt; 100}</w:t>
      </w:r>
    </w:p>
    <w:p>
      <w:pPr>
        <w:keepNext/>
        <w:spacing w:after="60" w:before="160"/>
      </w:pPr>
      <w:r>
        <w:rPr>
          <w:b/>
          <w:bCs/>
        </w:rPr>
        <w:t xml:space="preserve">7. </w:t>
      </w:r>
      <w:r>
        <w:t xml:space="preserve">What does 'select count(*), count(A), sum(A) from r' return?</w:t>
      </w:r>
    </w:p>
    <w:p>
      <w:pPr>
        <w:shd w:fill="F4F6F7" w:color="auto" w:val="clear"/>
        <w:spacing w:after="12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r(A): 3, null, 5, 5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4, 4, 13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4, 3, null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4, 3, 13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3, 3, 13</w:t>
      </w:r>
    </w:p>
    <w:p>
      <w:pPr>
        <w:keepNext/>
        <w:spacing w:after="60" w:before="160"/>
      </w:pPr>
      <w:r>
        <w:rPr>
          <w:b/>
          <w:bCs/>
        </w:rPr>
        <w:t xml:space="preserve">8. </w:t>
      </w:r>
      <w:r>
        <w:t xml:space="preserve">How many rows does 'select A from r where A not in (select B from s)' return (CQ3.2)?</w:t>
      </w:r>
    </w:p>
    <w:p>
      <w:pPr>
        <w:shd w:fill="F4F6F7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r(A): 1, 2, 3</w:t>
      </w:r>
    </w:p>
    <w:p>
      <w:pPr>
        <w:shd w:fill="F4F6F7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s(B): 1, null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0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1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2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3</w:t>
      </w:r>
    </w:p>
    <w:p>
      <w:pPr>
        <w:keepNext/>
        <w:spacing w:after="60" w:before="160"/>
      </w:pPr>
      <w:r>
        <w:rPr>
          <w:b/>
          <w:bCs/>
        </w:rPr>
        <w:t xml:space="preserve">9. </w:t>
      </w:r>
      <w:r>
        <w:t xml:space="preserve">What is the value of 'unknown or false' in SQL?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false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true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null is treated as false, so false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unknown</w:t>
      </w:r>
    </w:p>
    <w:p>
      <w:pPr>
        <w:keepNext/>
        <w:spacing w:after="60" w:before="160"/>
      </w:pPr>
      <w:r>
        <w:rPr>
          <w:b/>
          <w:bCs/>
        </w:rPr>
        <w:t xml:space="preserve">10. </w:t>
      </w:r>
      <w:r>
        <w:t xml:space="preserve">Which query lists, for each department with more than 2 instructors, the number of instructors?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select dept_name, count(*) from instructor group by dept_name having count(*) &gt; 2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select dept_name, count(*) from instructor where count(*) &gt; 2 group by dept_name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select dept_name, count(*) &gt; 2 from instructor group by dept_name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select dept_name from instructor having count(*) &gt; 2</w:t>
      </w:r>
    </w:p>
    <w:p>
      <w:pPr>
        <w:keepNext/>
        <w:spacing w:after="60" w:before="160"/>
      </w:pPr>
      <w:r>
        <w:rPr>
          <w:b/>
          <w:bCs/>
        </w:rPr>
        <w:t xml:space="preserve">11. </w:t>
      </w:r>
      <w:r>
        <w:t xml:space="preserve">Under bag semantics, how many tuples does 'r except all s' return?</w:t>
      </w:r>
    </w:p>
    <w:p>
      <w:pPr>
        <w:shd w:fill="F4F6F7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r(A): 4, 4, 4, 7</w:t>
      </w:r>
    </w:p>
    <w:p>
      <w:pPr>
        <w:shd w:fill="F4F6F7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s(A): 4, 9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1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2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3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4</w:t>
      </w:r>
    </w:p>
    <w:p>
      <w:pPr>
        <w:keepNext/>
        <w:spacing w:after="60" w:before="160"/>
      </w:pPr>
      <w:r>
        <w:rPr>
          <w:b/>
          <w:bCs/>
        </w:rPr>
        <w:t xml:space="preserve">12. </w:t>
      </w:r>
      <w:r>
        <w:t xml:space="preserve">Which SQL translation into relational algebra is correct for 'select distinct name from instructor where salary &gt; 90000'?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rPr>
          <w:rFonts w:ascii="Cambria Math" w:cs="Cambria Math" w:eastAsia="Cambria Math" w:hAnsi="Cambria Math"/>
        </w:rPr>
        <w:t xml:space="preserve">σ</w:t>
      </w:r>
      <w:r>
        <w:t xml:space="preserve">_name(instructor) </w:t>
      </w:r>
      <w:r>
        <w:rPr>
          <w:rFonts w:ascii="Cambria Math" w:cs="Cambria Math" w:eastAsia="Cambria Math" w:hAnsi="Cambria Math"/>
        </w:rPr>
        <w:t xml:space="preserve">−</w:t>
      </w:r>
      <w:r>
        <w:t xml:space="preserve"> </w:t>
      </w:r>
      <w:r>
        <w:rPr>
          <w:rFonts w:ascii="Cambria Math" w:cs="Cambria Math" w:eastAsia="Cambria Math" w:hAnsi="Cambria Math"/>
        </w:rPr>
        <w:t xml:space="preserve">σ</w:t>
      </w:r>
      <w:r>
        <w:t xml:space="preserve">_salary</w:t>
      </w:r>
      <w:r>
        <w:rPr>
          <w:rFonts w:ascii="Cambria Math" w:cs="Cambria Math" w:eastAsia="Cambria Math" w:hAnsi="Cambria Math"/>
        </w:rPr>
        <w:t xml:space="preserve">≤</w:t>
      </w:r>
      <w:r>
        <w:t xml:space="preserve">90000(instructor)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rPr>
          <w:rFonts w:ascii="Cambria Math" w:cs="Cambria Math" w:eastAsia="Cambria Math" w:hAnsi="Cambria Math"/>
        </w:rPr>
        <w:t xml:space="preserve">σ</w:t>
      </w:r>
      <w:r>
        <w:t xml:space="preserve">_salary&gt;90000(</w:t>
      </w:r>
      <w:r>
        <w:rPr>
          <w:rFonts w:ascii="Cambria Math" w:cs="Cambria Math" w:eastAsia="Cambria Math" w:hAnsi="Cambria Math"/>
        </w:rPr>
        <w:t xml:space="preserve">Π</w:t>
      </w:r>
      <w:r>
        <w:t xml:space="preserve">_name(instructor))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rPr>
          <w:rFonts w:ascii="Cambria Math" w:cs="Cambria Math" w:eastAsia="Cambria Math" w:hAnsi="Cambria Math"/>
        </w:rPr>
        <w:t xml:space="preserve">Π</w:t>
      </w:r>
      <w:r>
        <w:t xml:space="preserve">_salary&gt;90000(</w:t>
      </w:r>
      <w:r>
        <w:rPr>
          <w:rFonts w:ascii="Cambria Math" w:cs="Cambria Math" w:eastAsia="Cambria Math" w:hAnsi="Cambria Math"/>
        </w:rPr>
        <w:t xml:space="preserve">σ</w:t>
      </w:r>
      <w:r>
        <w:t xml:space="preserve">_name(instructor))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rPr>
          <w:rFonts w:ascii="Cambria Math" w:cs="Cambria Math" w:eastAsia="Cambria Math" w:hAnsi="Cambria Math"/>
        </w:rPr>
        <w:t xml:space="preserve">Π</w:t>
      </w:r>
      <w:r>
        <w:t xml:space="preserve">_name(</w:t>
      </w:r>
      <w:r>
        <w:rPr>
          <w:rFonts w:ascii="Cambria Math" w:cs="Cambria Math" w:eastAsia="Cambria Math" w:hAnsi="Cambria Math"/>
        </w:rPr>
        <w:t xml:space="preserve">σ</w:t>
      </w:r>
      <w:r>
        <w:t xml:space="preserve">_salary&gt;90000(instructor))</w:t>
      </w:r>
    </w:p>
    <w:p>
      <w:pPr>
        <w:keepNext/>
        <w:spacing w:after="60" w:before="160"/>
      </w:pPr>
      <w:r>
        <w:rPr>
          <w:b/>
          <w:bCs/>
        </w:rPr>
        <w:t xml:space="preserve">13. </w:t>
      </w:r>
      <w:r>
        <w:t xml:space="preserve">What does 'select student.ID, takes.course_id from student left outer join takes on student.ID = takes.ID' return?</w:t>
      </w:r>
    </w:p>
    <w:p>
      <w:pPr>
        <w:shd w:fill="F4F6F7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student(ID): S1, S2</w:t>
      </w:r>
    </w:p>
    <w:p>
      <w:pPr>
        <w:shd w:fill="F4F6F7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takes(ID, course_id): (S1, C1)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(S1, C1) only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(S1, C1), (S2, C1)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(S1, C1) and (S2, null)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(S2, null) only</w:t>
      </w:r>
    </w:p>
    <w:p>
      <w:pPr>
        <w:keepNext/>
        <w:spacing w:after="60" w:before="160"/>
      </w:pPr>
      <w:r>
        <w:rPr>
          <w:b/>
          <w:bCs/>
        </w:rPr>
        <w:t xml:space="preserve">14. </w:t>
      </w:r>
      <w:r>
        <w:t xml:space="preserve">Why does a (non-materialized) view cost nothing extra at run time (CQ4.2)?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Views are computed when they are created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The query on the view is rewritten in terms of the base relations and optimized as one query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Views are always indexed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The view's result is kept in memory permanently</w:t>
      </w:r>
    </w:p>
    <w:p>
      <w:pPr>
        <w:keepNext/>
        <w:spacing w:after="60" w:before="160"/>
      </w:pPr>
      <w:r>
        <w:rPr>
          <w:b/>
          <w:bCs/>
        </w:rPr>
        <w:t xml:space="preserve">15. </w:t>
      </w:r>
      <w:r>
        <w:t xml:space="preserve">User U1 has 'select on student' without grant option. What happens when U1 executes 'grant select on student to U2'?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The grant fails, because U1 is not authorized to pass the privilege on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U1 loses the privilege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U2 receives the privilege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U2 receives the privilege with grant option</w:t>
      </w:r>
    </w:p>
    <w:p>
      <w:pPr>
        <w:keepNext/>
        <w:spacing w:after="60" w:before="160"/>
      </w:pPr>
      <w:r>
        <w:rPr>
          <w:b/>
          <w:bCs/>
        </w:rPr>
        <w:t xml:space="preserve">16. </w:t>
      </w:r>
      <w:r>
        <w:t xml:space="preserve">How many tuples does the recursive transitive closure of prereq contain?</w:t>
      </w:r>
    </w:p>
    <w:p>
      <w:pPr>
        <w:shd w:fill="F4F6F7" w:color="auto" w:val="clear"/>
        <w:spacing w:after="12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prereq(course_id, prereq_id): (D, C), (C, B), (B, A), (E, B)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4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6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8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10</w:t>
      </w:r>
    </w:p>
    <w:p>
      <w:pPr>
        <w:keepNext/>
        <w:spacing w:after="60" w:before="160"/>
      </w:pPr>
      <w:r>
        <w:rPr>
          <w:b/>
          <w:bCs/>
        </w:rPr>
        <w:t xml:space="preserve">17. </w:t>
      </w:r>
      <w:r>
        <w:t xml:space="preserve">What is printed?</w:t>
      </w:r>
    </w:p>
    <w:p>
      <w:pPr>
        <w:shd w:fill="F4F6F7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begin try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insert into t values (1);   -- violates the primary key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print 'X';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end try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begin catch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print 'Y';</w:t>
      </w:r>
    </w:p>
    <w:p>
      <w:pPr>
        <w:shd w:fill="F4F6F7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end catch;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X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X then Y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nothing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Y</w:t>
      </w:r>
    </w:p>
    <w:p>
      <w:pPr>
        <w:keepNext/>
        <w:spacing w:after="60" w:before="160"/>
      </w:pPr>
      <w:r>
        <w:rPr>
          <w:b/>
          <w:bCs/>
        </w:rPr>
        <w:t xml:space="preserve">18. </w:t>
      </w:r>
      <w:r>
        <w:t xml:space="preserve">An AFTER UPDATE trigger on takes assumes that the inserted table contains exactly one row. What goes wrong when one statement updates the grades of a whole section?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The trigger fires once per row, so nothing goes wrong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The trigger fires once for the statement, so the code handles only one of the changed rows (or fails)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The trigger does not fire for multi-row updates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The update is rejected</w:t>
      </w:r>
    </w:p>
    <w:p>
      <w:pPr>
        <w:keepNext/>
        <w:spacing w:after="60" w:before="160"/>
      </w:pPr>
      <w:r>
        <w:rPr>
          <w:b/>
          <w:bCs/>
        </w:rPr>
        <w:t xml:space="preserve">19. </w:t>
      </w:r>
      <w:r>
        <w:t xml:space="preserve">Why do parameterized queries prevent SQL injection (CQ4.3)?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The structure of the statement is fixed before the user's value is supplied, so the value is always treated as data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They remove all quotes from the input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They check the user's password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They encrypt the user's input</w:t>
      </w:r>
    </w:p>
    <w:p>
      <w:pPr>
        <w:keepNext/>
        <w:spacing w:after="60" w:before="160"/>
      </w:pPr>
      <w:r>
        <w:rPr>
          <w:b/>
          <w:bCs/>
        </w:rPr>
        <w:t xml:space="preserve">20. </w:t>
      </w:r>
      <w:r>
        <w:t xml:space="preserve">Which task is best done with one set-based statement rather than a cursor?</w:t>
      </w:r>
    </w:p>
    <w:p>
      <w:pPr>
        <w:keepNext/>
        <w:spacing w:after="20"/>
        <w:ind w:left="360"/>
      </w:pPr>
      <w:r>
        <w:rPr>
          <w:b/>
          <w:bCs/>
        </w:rPr>
        <w:t xml:space="preserve">A. </w:t>
      </w:r>
      <w:r>
        <w:t xml:space="preserve">Calling a stored procedure that sends an e-mail for each student</w:t>
      </w:r>
    </w:p>
    <w:p>
      <w:pPr>
        <w:keepNext/>
        <w:spacing w:after="20"/>
        <w:ind w:left="360"/>
      </w:pPr>
      <w:r>
        <w:rPr>
          <w:b/>
          <w:bCs/>
        </w:rPr>
        <w:t xml:space="preserve">B. </w:t>
      </w:r>
      <w:r>
        <w:t xml:space="preserve">Printing a formatted report line by line in a client program</w:t>
      </w:r>
    </w:p>
    <w:p>
      <w:pPr>
        <w:keepNext/>
        <w:spacing w:after="20"/>
        <w:ind w:left="360"/>
      </w:pPr>
      <w:r>
        <w:rPr>
          <w:b/>
          <w:bCs/>
        </w:rPr>
        <w:t xml:space="preserve">C. </w:t>
      </w:r>
      <w:r>
        <w:t xml:space="preserve">Executing a different procedure for each row based on its type</w:t>
      </w:r>
    </w:p>
    <w:p>
      <w:pPr>
        <w:keepNext w:val="false"/>
        <w:spacing w:after="20"/>
        <w:ind w:left="360"/>
      </w:pPr>
      <w:r>
        <w:rPr>
          <w:b/>
          <w:bCs/>
        </w:rPr>
        <w:t xml:space="preserve">D. </w:t>
      </w:r>
      <w:r>
        <w:t xml:space="preserve">Raising the salary of every instructor in the Music department by 5%</w:t>
      </w:r>
    </w:p>
    <w:p>
      <w:r>
        <w:br w:type="page"/>
      </w:r>
    </w:p>
    <w:p>
      <w:pPr>
        <w:pStyle w:val="Heading1"/>
      </w:pPr>
      <w:r>
        <w:t xml:space="preserve">Answer key (lecturer copy)</w:t>
      </w:r>
    </w:p>
    <w:p>
      <w:pPr>
        <w:spacing w:after="100"/>
      </w:pPr>
      <w:r>
        <w:t xml:space="preserve">Remove this page before printing the test for students.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843"/>
        <w:gridCol w:w="1084"/>
        <w:gridCol w:w="1566"/>
        <w:gridCol w:w="1325"/>
        <w:gridCol w:w="1204"/>
        <w:gridCol w:w="2894"/>
      </w:tblGrid>
      <w:tr>
        <w:trPr>
          <w:tblHeader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Chapter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Self-study</w:t>
            </w: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Understand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§1.3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Remember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§1.6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§2.3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§2.6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§2.6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online Ch. 27 (safety)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§3.7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§3.8; §3.6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Remember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§3.6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§3.7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§3.5 (bag semantics)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Understand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§3.3; session 12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§4.1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Understand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§4.2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15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§4.7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16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§5.4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17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Apply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Practice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§5.2 (T-SQL TRY…CATCH)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18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§5.3 (T-SQL)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19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Understand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§5.1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20</w:t>
            </w:r>
          </w:p>
        </w:tc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08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15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Analyze</w:t>
            </w:r>
          </w:p>
        </w:tc>
        <w:tc>
          <w:tcPr>
            <w:tcW w:type="dxa" w:w="132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Theory</w:t>
            </w:r>
          </w:p>
        </w:tc>
        <w:tc>
          <w:tcPr>
            <w:tcW w:type="dxa" w:w="12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§5.2; session 23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Composition: Remember 2, Understand 4, Apply 8, Analyze 6; practice-based 10; self-study 3.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Page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PAGE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  <w:r>
      <w:rPr>
        <w:color w:val="5B6770"/>
        <w:sz w:val="16"/>
        <w:szCs w:val="16"/>
      </w:rPr>
      <w:t xml:space="preserve"> of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NUMPAGES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6"/>
        <w:szCs w:val="16"/>
      </w:rPr>
      <w:t xml:space="preserve">IDB201 – Progress test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F3B4D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3D8" w:sz="6" w:space="2"/>
      </w:pBdr>
      <w:spacing w:after="120" w:before="280"/>
      <w:outlineLvl w:val="0"/>
    </w:pPr>
    <w:rPr>
      <w:rFonts w:ascii="Cambria" w:cs="Cambria" w:eastAsia="Cambria" w:hAnsi="Cambria"/>
      <w:b/>
      <w:bCs/>
      <w:color w:val="1F3B4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mbria" w:cs="Cambria" w:eastAsia="Cambria" w:hAnsi="Cambria"/>
      <w:b/>
      <w:bCs/>
      <w:color w:val="1F3B4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mbria" w:cs="Cambria" w:eastAsia="Cambria" w:hAnsi="Cambria"/>
      <w:b/>
      <w:bCs/>
      <w:color w:val="C8553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IDB201 Progress test 1</dc:title>
  <dc:creator>IDB201 course team</dc:creator>
  <cp:lastModifiedBy>Un-named</cp:lastModifiedBy>
  <cp:revision>1</cp:revision>
  <dcterms:created xsi:type="dcterms:W3CDTF">2026-10-28T02:00:48.893Z</dcterms:created>
  <dcterms:modified xsi:type="dcterms:W3CDTF">2026-10-28T02:00:48.902Z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