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mbria" w:cs="Cambria" w:eastAsia="Cambria" w:hAnsi="Cambria"/>
          <w:color w:val="5B6770"/>
          <w:sz w:val="22"/>
          <w:szCs w:val="22"/>
        </w:rPr>
        <w:t xml:space="preserve">IDB201 – Introduction to Databases</w:t>
      </w:r>
    </w:p>
    <w:p>
      <w:pPr>
        <w:pStyle w:val="Title"/>
      </w:pPr>
      <w:r>
        <w:t xml:space="preserve">Consistency review of the phase-2 materials</w:t>
      </w:r>
    </w:p>
    <w:p>
      <w:pPr>
        <w:spacing w:after="160"/>
      </w:pPr>
      <w:r>
        <w:rPr>
          <w:rFonts w:ascii="Cambria" w:cs="Cambria" w:eastAsia="Cambria" w:hAnsi="Cambria"/>
          <w:i/>
          <w:iCs/>
          <w:color w:val="1F3B4D"/>
          <w:sz w:val="26"/>
          <w:szCs w:val="26"/>
        </w:rPr>
        <w:t xml:space="preserve">Slides, labs, group project, progress tests and final-exam bank, checked against the syllabus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7229"/>
      </w:tblGrid>
      <w:tr>
        <w:trPr>
          <w:cantSplit/>
        </w:trPr>
        <w:tc>
          <w:tcPr>
            <w:tcW w:type="dxa" w:w="2409"/>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pPr>
            <w:r>
              <w:rPr>
                <w:b/>
                <w:bCs/>
              </w:rPr>
              <w:t xml:space="preserve">Date</w:t>
            </w:r>
          </w:p>
        </w:tc>
        <w:tc>
          <w:tcPr>
            <w:tcW w:type="dxa" w:w="7229"/>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pPr>
            <w:r>
              <w:t xml:space="preserve">24 October 2026</w:t>
            </w:r>
          </w:p>
        </w:tc>
      </w:tr>
      <w:tr>
        <w:trPr>
          <w:cantSplit/>
        </w:trPr>
        <w:tc>
          <w:tcPr>
            <w:tcW w:type="dxa" w:w="2409"/>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pPr>
            <w:r>
              <w:rPr>
                <w:b/>
                <w:bCs/>
              </w:rPr>
              <w:t xml:space="preserve">Checked against</w:t>
            </w:r>
          </w:p>
        </w:tc>
        <w:tc>
          <w:tcPr>
            <w:tcW w:type="dxa" w:w="7229"/>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pPr>
            <w:r>
              <w:t xml:space="preserve">Syllabus workbook IDB201_Syllabus.xlsx (sheets Syllabus, CLO, Constructivist Question, Schedule, Grading structure) and the course objectives (docs/course-introduction.md)</w:t>
            </w:r>
          </w:p>
        </w:tc>
      </w:tr>
      <w:tr>
        <w:trPr>
          <w:cantSplit/>
        </w:trPr>
        <w:tc>
          <w:tcPr>
            <w:tcW w:type="dxa" w:w="2409"/>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pPr>
            <w:r>
              <w:rPr>
                <w:b/>
                <w:bCs/>
              </w:rPr>
              <w:t xml:space="preserve">Materials</w:t>
            </w:r>
          </w:p>
        </w:tc>
        <w:tc>
          <w:tcPr>
            <w:tcW w:type="dxa" w:w="7229"/>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pPr>
            <w:r>
              <w:t xml:space="preserve">10 slide decks; 5 lab handouts; 1 group-project brief; 2 progress tests; 1 final-exam bank of 400 MCQ</w:t>
            </w:r>
          </w:p>
        </w:tc>
      </w:tr>
    </w:tbl>
    <w:p>
      <w:pPr>
        <w:spacing w:after="80"/>
      </w:pPr>
    </w:p>
    <w:p>
      <w:pPr>
        <w:pStyle w:val="Heading1"/>
      </w:pPr>
      <w:r>
        <w:t xml:space="preserve">1. Method</w:t>
      </w:r>
    </w:p>
    <w:p>
      <w:pPr>
        <w:pStyle w:val="ListParagraph"/>
        <w:numPr>
          <w:ilvl w:val="0"/>
          <w:numId w:val="2"/>
        </w:numPr>
        <w:spacing w:after="60"/>
      </w:pPr>
      <w:r>
        <w:t xml:space="preserve">Every deliverable was compared, item by item, with the sessions of the Schedule sheet, the weights and rules of the Grading structure sheet, the CLO sheet and the 27 constructivist questions.</w:t>
      </w:r>
    </w:p>
    <w:p>
      <w:pPr>
        <w:pStyle w:val="ListParagraph"/>
        <w:numPr>
          <w:ilvl w:val="0"/>
          <w:numId w:val="2"/>
        </w:numPr>
        <w:spacing w:after="60"/>
      </w:pPr>
      <w:r>
        <w:t xml:space="preserve">All SQL in the lab solutions, and every query result, error number and measurement quoted in the lab hints, was run on SQL Server 2022 (Docker image mssql/server:2022-latest) with the scripts in materials/labs/sql.</w:t>
      </w:r>
    </w:p>
    <w:p>
      <w:pPr>
        <w:pStyle w:val="ListParagraph"/>
        <w:numPr>
          <w:ilvl w:val="0"/>
          <w:numId w:val="2"/>
        </w:numPr>
        <w:spacing w:after="60"/>
      </w:pPr>
      <w:r>
        <w:t xml:space="preserve">Practice-based exam items with computed answers were checked with SQL Server (SQL items) or with an attribute-closure script (functional-dependency items).</w:t>
      </w:r>
    </w:p>
    <w:p>
      <w:pPr>
        <w:pStyle w:val="ListParagraph"/>
        <w:numPr>
          <w:ilvl w:val="0"/>
          <w:numId w:val="2"/>
        </w:numPr>
        <w:spacing w:after="60"/>
      </w:pPr>
      <w:r>
        <w:t xml:space="preserve">The DSC PDF was not available in this session. Section and page references follow the reading list of the Schedule sheet; content follows DSC 7th ed. In the question bank, references are given at section level (e.g. §7.4) to avoid wrong subsection numbers.</w:t>
      </w:r>
    </w:p>
    <w:p>
      <w:pPr>
        <w:pStyle w:val="Heading1"/>
      </w:pPr>
      <w:r>
        <w:t xml:space="preserve">2. Summary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57"/>
        <w:gridCol w:w="2163"/>
        <w:gridCol w:w="1770"/>
        <w:gridCol w:w="3148"/>
      </w:tblGrid>
      <w:tr>
        <w:trPr>
          <w:tblHeader/>
        </w:trPr>
        <w:tc>
          <w:tcPr>
            <w:tcW w:type="dxa" w:w="2557"/>
            <w:tcBorders>
              <w:top w:val="single" w:color="C9D3D8" w:sz="4"/>
              <w:left w:val="single" w:color="C9D3D8" w:sz="4"/>
              <w:bottom w:val="single" w:color="C9D3D8" w:sz="4"/>
              <w:right w:val="single" w:color="C9D3D8" w:sz="4"/>
            </w:tcBorders>
            <w:shd w:fill="1F3B4D" w:color="auto" w:val="clear"/>
            <w:tcMar>
              <w:top w:type="dxa" w:w="60"/>
              <w:left w:type="dxa" w:w="100"/>
              <w:bottom w:type="dxa" w:w="60"/>
              <w:right w:type="dxa" w:w="100"/>
            </w:tcMar>
          </w:tcPr>
          <w:p>
            <w:pPr>
              <w:spacing w:after="40"/>
            </w:pPr>
            <w:r>
              <w:rPr>
                <w:b/>
                <w:bCs/>
                <w:color w:val="FFFFFF"/>
              </w:rPr>
              <w:t xml:space="preserve">Deliverable</w:t>
            </w:r>
          </w:p>
        </w:tc>
        <w:tc>
          <w:tcPr>
            <w:tcW w:type="dxa" w:w="2163"/>
            <w:tcBorders>
              <w:top w:val="single" w:color="C9D3D8" w:sz="4"/>
              <w:left w:val="single" w:color="C9D3D8" w:sz="4"/>
              <w:bottom w:val="single" w:color="C9D3D8" w:sz="4"/>
              <w:right w:val="single" w:color="C9D3D8" w:sz="4"/>
            </w:tcBorders>
            <w:shd w:fill="1F3B4D" w:color="auto" w:val="clear"/>
            <w:tcMar>
              <w:top w:type="dxa" w:w="60"/>
              <w:left w:type="dxa" w:w="100"/>
              <w:bottom w:type="dxa" w:w="60"/>
              <w:right w:type="dxa" w:w="100"/>
            </w:tcMar>
          </w:tcPr>
          <w:p>
            <w:pPr>
              <w:spacing w:after="40"/>
            </w:pPr>
            <w:r>
              <w:rPr>
                <w:b/>
                <w:bCs/>
                <w:color w:val="FFFFFF"/>
              </w:rPr>
              <w:t xml:space="preserve">Checked against</w:t>
            </w:r>
          </w:p>
        </w:tc>
        <w:tc>
          <w:tcPr>
            <w:tcW w:type="dxa" w:w="1770"/>
            <w:tcBorders>
              <w:top w:val="single" w:color="C9D3D8" w:sz="4"/>
              <w:left w:val="single" w:color="C9D3D8" w:sz="4"/>
              <w:bottom w:val="single" w:color="C9D3D8" w:sz="4"/>
              <w:right w:val="single" w:color="C9D3D8" w:sz="4"/>
            </w:tcBorders>
            <w:shd w:fill="1F3B4D" w:color="auto" w:val="clear"/>
            <w:tcMar>
              <w:top w:type="dxa" w:w="60"/>
              <w:left w:type="dxa" w:w="100"/>
              <w:bottom w:type="dxa" w:w="60"/>
              <w:right w:type="dxa" w:w="100"/>
            </w:tcMar>
          </w:tcPr>
          <w:p>
            <w:pPr>
              <w:spacing w:after="40"/>
            </w:pPr>
            <w:r>
              <w:rPr>
                <w:b/>
                <w:bCs/>
                <w:color w:val="FFFFFF"/>
              </w:rPr>
              <w:t xml:space="preserve">Result</w:t>
            </w:r>
          </w:p>
        </w:tc>
        <w:tc>
          <w:tcPr>
            <w:tcW w:type="dxa" w:w="3148"/>
            <w:tcBorders>
              <w:top w:val="single" w:color="C9D3D8" w:sz="4"/>
              <w:left w:val="single" w:color="C9D3D8" w:sz="4"/>
              <w:bottom w:val="single" w:color="C9D3D8" w:sz="4"/>
              <w:right w:val="single" w:color="C9D3D8" w:sz="4"/>
            </w:tcBorders>
            <w:shd w:fill="1F3B4D" w:color="auto" w:val="clear"/>
            <w:tcMar>
              <w:top w:type="dxa" w:w="60"/>
              <w:left w:type="dxa" w:w="100"/>
              <w:bottom w:type="dxa" w:w="60"/>
              <w:right w:type="dxa" w:w="100"/>
            </w:tcMar>
          </w:tcPr>
          <w:p>
            <w:pPr>
              <w:spacing w:after="40"/>
            </w:pPr>
            <w:r>
              <w:rPr>
                <w:b/>
                <w:bCs/>
                <w:color w:val="FFFFFF"/>
              </w:rPr>
              <w:t xml:space="preserve">Notes</w:t>
            </w:r>
          </w:p>
        </w:tc>
      </w:tr>
      <w:tr>
        <w:trPr>
          <w:cantSplit/>
        </w:trPr>
        <w:tc>
          <w:tcPr>
            <w:tcW w:type="dxa" w:w="2557"/>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pPr>
            <w:r>
              <w:t xml:space="preserve">Slides, 10 decks (249 slides)</w:t>
            </w:r>
          </w:p>
        </w:tc>
        <w:tc>
          <w:tcPr>
            <w:tcW w:type="dxa" w:w="2163"/>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pPr>
            <w:r>
              <w:t xml:space="preserve">Schedule, CQ sheet, CLO</w:t>
            </w:r>
          </w:p>
        </w:tc>
        <w:tc>
          <w:tcPr>
            <w:tcW w:type="dxa" w:w="1770"/>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pPr>
            <w:r>
              <w:t xml:space="preserve">Consistent, see note</w:t>
            </w:r>
          </w:p>
        </w:tc>
        <w:tc>
          <w:tcPr>
            <w:tcW w:type="dxa" w:w="3148"/>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pPr>
            <w:r>
              <w:t xml:space="preserve">Issues 1–3 below</w:t>
            </w:r>
          </w:p>
        </w:tc>
      </w:tr>
      <w:tr>
        <w:trPr>
          <w:cantSplit/>
        </w:trPr>
        <w:tc>
          <w:tcPr>
            <w:tcW w:type="dxa" w:w="2557"/>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pPr>
            <w:r>
              <w:t xml:space="preserve">Labs 1–5</w:t>
            </w:r>
          </w:p>
        </w:tc>
        <w:tc>
          <w:tcPr>
            <w:tcW w:type="dxa" w:w="2163"/>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pPr>
            <w:r>
              <w:t xml:space="preserve">Schedule, Grading row 1, CLO</w:t>
            </w:r>
          </w:p>
        </w:tc>
        <w:tc>
          <w:tcPr>
            <w:tcW w:type="dxa" w:w="1770"/>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pPr>
            <w:r>
              <w:t xml:space="preserve">Consistent, see note</w:t>
            </w:r>
          </w:p>
        </w:tc>
        <w:tc>
          <w:tcPr>
            <w:tcW w:type="dxa" w:w="3148"/>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pPr>
            <w:r>
              <w:t xml:space="preserve">Issue 4 (session length)</w:t>
            </w:r>
          </w:p>
        </w:tc>
      </w:tr>
      <w:tr>
        <w:trPr>
          <w:cantSplit/>
        </w:trPr>
        <w:tc>
          <w:tcPr>
            <w:tcW w:type="dxa" w:w="2557"/>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pPr>
            <w:r>
              <w:t xml:space="preserve">Group project</w:t>
            </w:r>
          </w:p>
        </w:tc>
        <w:tc>
          <w:tcPr>
            <w:tcW w:type="dxa" w:w="2163"/>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pPr>
            <w:r>
              <w:t xml:space="preserve">Grading row 4, Schedule sessions 7, 39, 52, 54, 56–57</w:t>
            </w:r>
          </w:p>
        </w:tc>
        <w:tc>
          <w:tcPr>
            <w:tcW w:type="dxa" w:w="1770"/>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pPr>
            <w:r>
              <w:t xml:space="preserve">Consistent</w:t>
            </w:r>
          </w:p>
        </w:tc>
        <w:tc>
          <w:tcPr>
            <w:tcW w:type="dxa" w:w="3148"/>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pPr>
            <w:r>
              <w:t xml:space="preserve">Issue 6 (AI-use statement added)</w:t>
            </w:r>
          </w:p>
        </w:tc>
      </w:tr>
      <w:tr>
        <w:trPr>
          <w:cantSplit/>
        </w:trPr>
        <w:tc>
          <w:tcPr>
            <w:tcW w:type="dxa" w:w="2557"/>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pPr>
            <w:r>
              <w:t xml:space="preserve">Progress tests 1–2</w:t>
            </w:r>
          </w:p>
        </w:tc>
        <w:tc>
          <w:tcPr>
            <w:tcW w:type="dxa" w:w="2163"/>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pPr>
            <w:r>
              <w:t xml:space="preserve">Grading rows 2–3, Schedule sessions 26, 40</w:t>
            </w:r>
          </w:p>
        </w:tc>
        <w:tc>
          <w:tcPr>
            <w:tcW w:type="dxa" w:w="1770"/>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pPr>
            <w:r>
              <w:t xml:space="preserve">Needs a decision</w:t>
            </w:r>
          </w:p>
        </w:tc>
        <w:tc>
          <w:tcPr>
            <w:tcW w:type="dxa" w:w="3148"/>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pPr>
            <w:r>
              <w:t xml:space="preserve">Issue 5 (2 written items)</w:t>
            </w:r>
          </w:p>
        </w:tc>
      </w:tr>
      <w:tr>
        <w:trPr>
          <w:cantSplit/>
        </w:trPr>
        <w:tc>
          <w:tcPr>
            <w:tcW w:type="dxa" w:w="2557"/>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pPr>
            <w:r>
              <w:t xml:space="preserve">Final-exam bank</w:t>
            </w:r>
          </w:p>
        </w:tc>
        <w:tc>
          <w:tcPr>
            <w:tcW w:type="dxa" w:w="2163"/>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pPr>
            <w:r>
              <w:t xml:space="preserve">Grading row 5, Syllabus</w:t>
            </w:r>
          </w:p>
        </w:tc>
        <w:tc>
          <w:tcPr>
            <w:tcW w:type="dxa" w:w="1770"/>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pPr>
            <w:r>
              <w:t xml:space="preserve">Consistent, see note</w:t>
            </w:r>
          </w:p>
        </w:tc>
        <w:tc>
          <w:tcPr>
            <w:tcW w:type="dxa" w:w="3148"/>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pPr>
            <w:r>
              <w:t xml:space="preserve">Issue 7 (bank proportions)</w:t>
            </w:r>
          </w:p>
        </w:tc>
      </w:tr>
    </w:tbl>
    <w:p>
      <w:pPr>
        <w:spacing w:after="80"/>
      </w:pPr>
    </w:p>
    <w:p>
      <w:pPr>
        <w:pStyle w:val="Heading1"/>
      </w:pPr>
      <w:r>
        <w:t xml:space="preserve">3. Consistency with the Schedule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3212"/>
        <w:gridCol w:w="3214"/>
      </w:tblGrid>
      <w:tr>
        <w:trPr>
          <w:tblHeader/>
        </w:trPr>
        <w:tc>
          <w:tcPr>
            <w:tcW w:type="dxa" w:w="1606"/>
            <w:tcBorders>
              <w:top w:val="single" w:color="C9D3D8" w:sz="4"/>
              <w:left w:val="single" w:color="C9D3D8" w:sz="4"/>
              <w:bottom w:val="single" w:color="C9D3D8" w:sz="4"/>
              <w:right w:val="single" w:color="C9D3D8" w:sz="4"/>
            </w:tcBorders>
            <w:shd w:fill="1F3B4D" w:color="auto" w:val="clear"/>
            <w:tcMar>
              <w:top w:type="dxa" w:w="60"/>
              <w:left w:type="dxa" w:w="100"/>
              <w:bottom w:type="dxa" w:w="60"/>
              <w:right w:type="dxa" w:w="100"/>
            </w:tcMar>
          </w:tcPr>
          <w:p>
            <w:pPr>
              <w:spacing w:after="40"/>
            </w:pPr>
            <w:r>
              <w:rPr>
                <w:b/>
                <w:bCs/>
                <w:color w:val="FFFFFF"/>
              </w:rPr>
              <w:t xml:space="preserve">Deck</w:t>
            </w:r>
          </w:p>
        </w:tc>
        <w:tc>
          <w:tcPr>
            <w:tcW w:type="dxa" w:w="1606"/>
            <w:tcBorders>
              <w:top w:val="single" w:color="C9D3D8" w:sz="4"/>
              <w:left w:val="single" w:color="C9D3D8" w:sz="4"/>
              <w:bottom w:val="single" w:color="C9D3D8" w:sz="4"/>
              <w:right w:val="single" w:color="C9D3D8" w:sz="4"/>
            </w:tcBorders>
            <w:shd w:fill="1F3B4D" w:color="auto" w:val="clear"/>
            <w:tcMar>
              <w:top w:type="dxa" w:w="60"/>
              <w:left w:type="dxa" w:w="100"/>
              <w:bottom w:type="dxa" w:w="60"/>
              <w:right w:type="dxa" w:w="100"/>
            </w:tcMar>
          </w:tcPr>
          <w:p>
            <w:pPr>
              <w:spacing w:after="40"/>
            </w:pPr>
            <w:r>
              <w:rPr>
                <w:b/>
                <w:bCs/>
                <w:color w:val="FFFFFF"/>
              </w:rPr>
              <w:t xml:space="preserve">Sessions</w:t>
            </w:r>
          </w:p>
        </w:tc>
        <w:tc>
          <w:tcPr>
            <w:tcW w:type="dxa" w:w="3212"/>
            <w:tcBorders>
              <w:top w:val="single" w:color="C9D3D8" w:sz="4"/>
              <w:left w:val="single" w:color="C9D3D8" w:sz="4"/>
              <w:bottom w:val="single" w:color="C9D3D8" w:sz="4"/>
              <w:right w:val="single" w:color="C9D3D8" w:sz="4"/>
            </w:tcBorders>
            <w:shd w:fill="1F3B4D" w:color="auto" w:val="clear"/>
            <w:tcMar>
              <w:top w:type="dxa" w:w="60"/>
              <w:left w:type="dxa" w:w="100"/>
              <w:bottom w:type="dxa" w:w="60"/>
              <w:right w:type="dxa" w:w="100"/>
            </w:tcMar>
          </w:tcPr>
          <w:p>
            <w:pPr>
              <w:spacing w:after="40"/>
            </w:pPr>
            <w:r>
              <w:rPr>
                <w:b/>
                <w:bCs/>
                <w:color w:val="FFFFFF"/>
              </w:rPr>
              <w:t xml:space="preserve">Schedule topics covered</w:t>
            </w:r>
          </w:p>
        </w:tc>
        <w:tc>
          <w:tcPr>
            <w:tcW w:type="dxa" w:w="3214"/>
            <w:tcBorders>
              <w:top w:val="single" w:color="C9D3D8" w:sz="4"/>
              <w:left w:val="single" w:color="C9D3D8" w:sz="4"/>
              <w:bottom w:val="single" w:color="C9D3D8" w:sz="4"/>
              <w:right w:val="single" w:color="C9D3D8" w:sz="4"/>
            </w:tcBorders>
            <w:shd w:fill="1F3B4D" w:color="auto" w:val="clear"/>
            <w:tcMar>
              <w:top w:type="dxa" w:w="60"/>
              <w:left w:type="dxa" w:w="100"/>
              <w:bottom w:type="dxa" w:w="60"/>
              <w:right w:type="dxa" w:w="100"/>
            </w:tcMar>
          </w:tcPr>
          <w:p>
            <w:pPr>
              <w:spacing w:after="40"/>
            </w:pPr>
            <w:r>
              <w:rPr>
                <w:b/>
                <w:bCs/>
                <w:color w:val="FFFFFF"/>
              </w:rPr>
              <w:t xml:space="preserve">Remarks</w:t>
            </w:r>
          </w:p>
        </w:tc>
      </w:tr>
      <w:tr>
        <w:trPr>
          <w:cantSplit/>
        </w:trPr>
        <w:tc>
          <w:tcPr>
            <w:tcW w:type="dxa" w:w="1606"/>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pPr>
            <w:r>
              <w:t xml:space="preserve">chapter_1</w:t>
            </w:r>
          </w:p>
        </w:tc>
        <w:tc>
          <w:tcPr>
            <w:tcW w:type="dxa" w:w="1606"/>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pPr>
            <w:r>
              <w:t xml:space="preserve">1, 2, 3</w:t>
            </w:r>
          </w:p>
        </w:tc>
        <w:tc>
          <w:tcPr>
            <w:tcW w:type="dxa" w:w="3212"/>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pPr>
            <w:r>
              <w:t xml:space="preserve">§1.1–1.7; self-study §1.8–1.9; CQ1.1–CQ1.3</w:t>
            </w:r>
          </w:p>
        </w:tc>
        <w:tc>
          <w:tcPr>
            <w:tcW w:type="dxa" w:w="3214"/>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pPr>
            <w:r>
              <w:t xml:space="preserve">Tool set-up of session 3 is a short slide</w:t>
            </w:r>
          </w:p>
        </w:tc>
      </w:tr>
      <w:tr>
        <w:trPr>
          <w:cantSplit/>
        </w:trPr>
        <w:tc>
          <w:tcPr>
            <w:tcW w:type="dxa" w:w="1606"/>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pPr>
            <w:r>
              <w:t xml:space="preserve">Chapter_2</w:t>
            </w:r>
          </w:p>
        </w:tc>
        <w:tc>
          <w:tcPr>
            <w:tcW w:type="dxa" w:w="1606"/>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pPr>
            <w:r>
              <w:t xml:space="preserve">4, 5, 6</w:t>
            </w:r>
          </w:p>
        </w:tc>
        <w:tc>
          <w:tcPr>
            <w:tcW w:type="dxa" w:w="3212"/>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pPr>
            <w:r>
              <w:t xml:space="preserve">§2.1–2.6; division and aggregation; calculus self-study briefing</w:t>
            </w:r>
          </w:p>
        </w:tc>
        <w:tc>
          <w:tcPr>
            <w:tcW w:type="dxa" w:w="3214"/>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pPr>
            <w:r>
              <w:t xml:space="preserve">CQ2.1–CQ2.3 (session 8) are not in any deck: see issue 1</w:t>
            </w:r>
          </w:p>
        </w:tc>
      </w:tr>
      <w:tr>
        <w:trPr>
          <w:cantSplit/>
        </w:trPr>
        <w:tc>
          <w:tcPr>
            <w:tcW w:type="dxa" w:w="1606"/>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pPr>
            <w:r>
              <w:t xml:space="preserve">Chapter_3</w:t>
            </w:r>
          </w:p>
        </w:tc>
        <w:tc>
          <w:tcPr>
            <w:tcW w:type="dxa" w:w="1606"/>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pPr>
            <w:r>
              <w:t xml:space="preserve">9–12</w:t>
            </w:r>
          </w:p>
        </w:tc>
        <w:tc>
          <w:tcPr>
            <w:tcW w:type="dxa" w:w="3212"/>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pPr>
            <w:r>
              <w:t xml:space="preserve">§3.1–3.9; SQL </w:t>
            </w:r>
            <w:r>
              <w:rPr>
                <w:rFonts w:ascii="Cambria Math" w:cs="Cambria Math" w:eastAsia="Cambria Math" w:hAnsi="Cambria Math"/>
              </w:rPr>
              <w:t xml:space="preserve">→</w:t>
            </w:r>
            <w:r>
              <w:t xml:space="preserve"> algebra; bag-semantics self-study; CQ3.1–CQ3.3</w:t>
            </w:r>
          </w:p>
        </w:tc>
        <w:tc>
          <w:tcPr>
            <w:tcW w:type="dxa" w:w="3214"/>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pPr>
          </w:p>
        </w:tc>
      </w:tr>
      <w:tr>
        <w:trPr>
          <w:cantSplit/>
        </w:trPr>
        <w:tc>
          <w:tcPr>
            <w:tcW w:type="dxa" w:w="1606"/>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pPr>
            <w:r>
              <w:t xml:space="preserve">Chapter_4</w:t>
            </w:r>
          </w:p>
        </w:tc>
        <w:tc>
          <w:tcPr>
            <w:tcW w:type="dxa" w:w="1606"/>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pPr>
            <w:r>
              <w:t xml:space="preserve">15, 16, 17</w:t>
            </w:r>
          </w:p>
        </w:tc>
        <w:tc>
          <w:tcPr>
            <w:tcW w:type="dxa" w:w="3212"/>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pPr>
            <w:r>
              <w:t xml:space="preserve">§4.1–4.6, §5.4; self-study §4.7, §5.5</w:t>
            </w:r>
          </w:p>
        </w:tc>
        <w:tc>
          <w:tcPr>
            <w:tcW w:type="dxa" w:w="3214"/>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pPr>
          </w:p>
        </w:tc>
      </w:tr>
      <w:tr>
        <w:trPr>
          <w:cantSplit/>
        </w:trPr>
        <w:tc>
          <w:tcPr>
            <w:tcW w:type="dxa" w:w="1606"/>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pPr>
            <w:r>
              <w:t xml:space="preserve">Chapter_5</w:t>
            </w:r>
          </w:p>
        </w:tc>
        <w:tc>
          <w:tcPr>
            <w:tcW w:type="dxa" w:w="1606"/>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pPr>
            <w:r>
              <w:t xml:space="preserve">18–23</w:t>
            </w:r>
          </w:p>
        </w:tc>
        <w:tc>
          <w:tcPr>
            <w:tcW w:type="dxa" w:w="3212"/>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pPr>
            <w:r>
              <w:t xml:space="preserve">§5.1, SQL injection, CQ4.1–CQ4.3 (session 18); Lab 2 briefing (session 19); §5.2–5.3, cursors</w:t>
            </w:r>
          </w:p>
        </w:tc>
        <w:tc>
          <w:tcPr>
            <w:tcW w:type="dxa" w:w="3214"/>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pPr>
            <w:r>
              <w:t xml:space="preserve">Session 18 is labelled 'Slides: Chapter 4' in the Schedule: see issue 2</w:t>
            </w:r>
          </w:p>
        </w:tc>
      </w:tr>
      <w:tr>
        <w:trPr>
          <w:cantSplit/>
        </w:trPr>
        <w:tc>
          <w:tcPr>
            <w:tcW w:type="dxa" w:w="1606"/>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pPr>
            <w:r>
              <w:t xml:space="preserve">Chapter_6</w:t>
            </w:r>
          </w:p>
        </w:tc>
        <w:tc>
          <w:tcPr>
            <w:tcW w:type="dxa" w:w="1606"/>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pPr>
            <w:r>
              <w:t xml:space="preserve">27–30</w:t>
            </w:r>
          </w:p>
        </w:tc>
        <w:tc>
          <w:tcPr>
            <w:tcW w:type="dxa" w:w="3212"/>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pPr>
            <w:r>
              <w:t xml:space="preserve">§6.1–6.7, §6.9; self-study §6.8, §6.10–6.11; CQ6.1–CQ6.3</w:t>
            </w:r>
          </w:p>
        </w:tc>
        <w:tc>
          <w:tcPr>
            <w:tcW w:type="dxa" w:w="3214"/>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pPr>
          </w:p>
        </w:tc>
      </w:tr>
      <w:tr>
        <w:trPr>
          <w:cantSplit/>
        </w:trPr>
        <w:tc>
          <w:tcPr>
            <w:tcW w:type="dxa" w:w="1606"/>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pPr>
            <w:r>
              <w:t xml:space="preserve">Chapter_7</w:t>
            </w:r>
          </w:p>
        </w:tc>
        <w:tc>
          <w:tcPr>
            <w:tcW w:type="dxa" w:w="1606"/>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pPr>
            <w:r>
              <w:t xml:space="preserve">32–37</w:t>
            </w:r>
          </w:p>
        </w:tc>
        <w:tc>
          <w:tcPr>
            <w:tcW w:type="dxa" w:w="3212"/>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pPr>
            <w:r>
              <w:t xml:space="preserve">§7.1–7.6, §7.8; self-study §7.7, §7.9; CQ7.1–CQ7.3</w:t>
            </w:r>
          </w:p>
        </w:tc>
        <w:tc>
          <w:tcPr>
            <w:tcW w:type="dxa" w:w="3214"/>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pPr>
            <w:r>
              <w:t xml:space="preserve">Session 38 (guided exercises) was not requested</w:t>
            </w:r>
          </w:p>
        </w:tc>
      </w:tr>
      <w:tr>
        <w:trPr>
          <w:cantSplit/>
        </w:trPr>
        <w:tc>
          <w:tcPr>
            <w:tcW w:type="dxa" w:w="1606"/>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pPr>
            <w:r>
              <w:t xml:space="preserve">Chapter_8</w:t>
            </w:r>
          </w:p>
        </w:tc>
        <w:tc>
          <w:tcPr>
            <w:tcW w:type="dxa" w:w="1606"/>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pPr>
            <w:r>
              <w:t xml:space="preserve">41*, 42, 43, 44</w:t>
            </w:r>
          </w:p>
        </w:tc>
        <w:tc>
          <w:tcPr>
            <w:tcW w:type="dxa" w:w="3212"/>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pPr>
            <w:r>
              <w:t xml:space="preserve">§13.1–13.3, §13.5; §14.1–14.3, §14.5, §14.7; exercises; CQ8.1–CQ8.3</w:t>
            </w:r>
          </w:p>
        </w:tc>
        <w:tc>
          <w:tcPr>
            <w:tcW w:type="dxa" w:w="3214"/>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pPr>
            <w:r>
              <w:t xml:space="preserve">*Session 41 added: see issue 3</w:t>
            </w:r>
          </w:p>
        </w:tc>
      </w:tr>
      <w:tr>
        <w:trPr>
          <w:cantSplit/>
        </w:trPr>
        <w:tc>
          <w:tcPr>
            <w:tcW w:type="dxa" w:w="1606"/>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pPr>
            <w:r>
              <w:t xml:space="preserve">Chapter_9</w:t>
            </w:r>
          </w:p>
        </w:tc>
        <w:tc>
          <w:tcPr>
            <w:tcW w:type="dxa" w:w="1606"/>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pPr>
            <w:r>
              <w:t xml:space="preserve">45, 46, 47</w:t>
            </w:r>
          </w:p>
        </w:tc>
        <w:tc>
          <w:tcPr>
            <w:tcW w:type="dxa" w:w="3212"/>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pPr>
            <w:r>
              <w:t xml:space="preserve">§15.1–15.5, §16.1–16.2, SQL Server plans; CQ9.1–CQ9.3</w:t>
            </w:r>
          </w:p>
        </w:tc>
        <w:tc>
          <w:tcPr>
            <w:tcW w:type="dxa" w:w="3214"/>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pPr>
          </w:p>
        </w:tc>
      </w:tr>
      <w:tr>
        <w:trPr>
          <w:cantSplit/>
        </w:trPr>
        <w:tc>
          <w:tcPr>
            <w:tcW w:type="dxa" w:w="1606"/>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pPr>
            <w:r>
              <w:t xml:space="preserve">Chapter_10</w:t>
            </w:r>
          </w:p>
        </w:tc>
        <w:tc>
          <w:tcPr>
            <w:tcW w:type="dxa" w:w="1606"/>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pPr>
            <w:r>
              <w:t xml:space="preserve">49, 50, 51, 53, 55</w:t>
            </w:r>
          </w:p>
        </w:tc>
        <w:tc>
          <w:tcPr>
            <w:tcW w:type="dxa" w:w="3212"/>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pPr>
            <w:r>
              <w:t xml:space="preserve">§17.1–17.10, §18.1–18.2, §18.4, §18.8, §19.1, §19.3–19.4; CQ10.1–CQ10.3</w:t>
            </w:r>
          </w:p>
        </w:tc>
        <w:tc>
          <w:tcPr>
            <w:tcW w:type="dxa" w:w="3214"/>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pP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05"/>
        <w:gridCol w:w="1606"/>
        <w:gridCol w:w="2208"/>
        <w:gridCol w:w="2208"/>
        <w:gridCol w:w="2211"/>
      </w:tblGrid>
      <w:tr>
        <w:trPr>
          <w:tblHeader/>
        </w:trPr>
        <w:tc>
          <w:tcPr>
            <w:tcW w:type="dxa" w:w="1405"/>
            <w:tcBorders>
              <w:top w:val="single" w:color="C9D3D8" w:sz="4"/>
              <w:left w:val="single" w:color="C9D3D8" w:sz="4"/>
              <w:bottom w:val="single" w:color="C9D3D8" w:sz="4"/>
              <w:right w:val="single" w:color="C9D3D8" w:sz="4"/>
            </w:tcBorders>
            <w:shd w:fill="1F3B4D" w:color="auto" w:val="clear"/>
            <w:tcMar>
              <w:top w:type="dxa" w:w="60"/>
              <w:left w:type="dxa" w:w="100"/>
              <w:bottom w:type="dxa" w:w="60"/>
              <w:right w:type="dxa" w:w="100"/>
            </w:tcMar>
          </w:tcPr>
          <w:p>
            <w:pPr>
              <w:spacing w:after="40"/>
            </w:pPr>
            <w:r>
              <w:rPr>
                <w:b/>
                <w:bCs/>
                <w:color w:val="FFFFFF"/>
              </w:rPr>
              <w:t xml:space="preserve">Lab</w:t>
            </w:r>
          </w:p>
        </w:tc>
        <w:tc>
          <w:tcPr>
            <w:tcW w:type="dxa" w:w="1606"/>
            <w:tcBorders>
              <w:top w:val="single" w:color="C9D3D8" w:sz="4"/>
              <w:left w:val="single" w:color="C9D3D8" w:sz="4"/>
              <w:bottom w:val="single" w:color="C9D3D8" w:sz="4"/>
              <w:right w:val="single" w:color="C9D3D8" w:sz="4"/>
            </w:tcBorders>
            <w:shd w:fill="1F3B4D" w:color="auto" w:val="clear"/>
            <w:tcMar>
              <w:top w:type="dxa" w:w="60"/>
              <w:left w:type="dxa" w:w="100"/>
              <w:bottom w:type="dxa" w:w="60"/>
              <w:right w:type="dxa" w:w="100"/>
            </w:tcMar>
          </w:tcPr>
          <w:p>
            <w:pPr>
              <w:spacing w:after="40"/>
            </w:pPr>
            <w:r>
              <w:rPr>
                <w:b/>
                <w:bCs/>
                <w:color w:val="FFFFFF"/>
              </w:rPr>
              <w:t xml:space="preserve">Sessions</w:t>
            </w:r>
          </w:p>
        </w:tc>
        <w:tc>
          <w:tcPr>
            <w:tcW w:type="dxa" w:w="2208"/>
            <w:tcBorders>
              <w:top w:val="single" w:color="C9D3D8" w:sz="4"/>
              <w:left w:val="single" w:color="C9D3D8" w:sz="4"/>
              <w:bottom w:val="single" w:color="C9D3D8" w:sz="4"/>
              <w:right w:val="single" w:color="C9D3D8" w:sz="4"/>
            </w:tcBorders>
            <w:shd w:fill="1F3B4D" w:color="auto" w:val="clear"/>
            <w:tcMar>
              <w:top w:type="dxa" w:w="60"/>
              <w:left w:type="dxa" w:w="100"/>
              <w:bottom w:type="dxa" w:w="60"/>
              <w:right w:type="dxa" w:w="100"/>
            </w:tcMar>
          </w:tcPr>
          <w:p>
            <w:pPr>
              <w:spacing w:after="40"/>
            </w:pPr>
            <w:r>
              <w:rPr>
                <w:b/>
                <w:bCs/>
                <w:color w:val="FFFFFF"/>
              </w:rPr>
              <w:t xml:space="preserve">Schedule content</w:t>
            </w:r>
          </w:p>
        </w:tc>
        <w:tc>
          <w:tcPr>
            <w:tcW w:type="dxa" w:w="2208"/>
            <w:tcBorders>
              <w:top w:val="single" w:color="C9D3D8" w:sz="4"/>
              <w:left w:val="single" w:color="C9D3D8" w:sz="4"/>
              <w:bottom w:val="single" w:color="C9D3D8" w:sz="4"/>
              <w:right w:val="single" w:color="C9D3D8" w:sz="4"/>
            </w:tcBorders>
            <w:shd w:fill="1F3B4D" w:color="auto" w:val="clear"/>
            <w:tcMar>
              <w:top w:type="dxa" w:w="60"/>
              <w:left w:type="dxa" w:w="100"/>
              <w:bottom w:type="dxa" w:w="60"/>
              <w:right w:type="dxa" w:w="100"/>
            </w:tcMar>
          </w:tcPr>
          <w:p>
            <w:pPr>
              <w:spacing w:after="40"/>
            </w:pPr>
            <w:r>
              <w:rPr>
                <w:b/>
                <w:bCs/>
                <w:color w:val="FFFFFF"/>
              </w:rPr>
              <w:t xml:space="preserve">Handout content</w:t>
            </w:r>
          </w:p>
        </w:tc>
        <w:tc>
          <w:tcPr>
            <w:tcW w:type="dxa" w:w="2211"/>
            <w:tcBorders>
              <w:top w:val="single" w:color="C9D3D8" w:sz="4"/>
              <w:left w:val="single" w:color="C9D3D8" w:sz="4"/>
              <w:bottom w:val="single" w:color="C9D3D8" w:sz="4"/>
              <w:right w:val="single" w:color="C9D3D8" w:sz="4"/>
            </w:tcBorders>
            <w:shd w:fill="1F3B4D" w:color="auto" w:val="clear"/>
            <w:tcMar>
              <w:top w:type="dxa" w:w="60"/>
              <w:left w:type="dxa" w:w="100"/>
              <w:bottom w:type="dxa" w:w="60"/>
              <w:right w:type="dxa" w:w="100"/>
            </w:tcMar>
          </w:tcPr>
          <w:p>
            <w:pPr>
              <w:spacing w:after="40"/>
            </w:pPr>
            <w:r>
              <w:rPr>
                <w:b/>
                <w:bCs/>
                <w:color w:val="FFFFFF"/>
              </w:rPr>
              <w:t xml:space="preserve">CLOs (Schedule = handout)</w:t>
            </w:r>
          </w:p>
        </w:tc>
      </w:tr>
      <w:tr>
        <w:trPr>
          <w:cantSplit/>
        </w:trPr>
        <w:tc>
          <w:tcPr>
            <w:tcW w:type="dxa" w:w="1405"/>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pPr>
            <w:r>
              <w:t xml:space="preserve">Lab 1</w:t>
            </w:r>
          </w:p>
        </w:tc>
        <w:tc>
          <w:tcPr>
            <w:tcW w:type="dxa" w:w="1606"/>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pPr>
            <w:r>
              <w:t xml:space="preserve">13, 14</w:t>
            </w:r>
          </w:p>
        </w:tc>
        <w:tc>
          <w:tcPr>
            <w:tcW w:type="dxa" w:w="2208"/>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pPr>
            <w:r>
              <w:t xml:space="preserve">Queries, joins, NULL; aggregation, subqueries, set operations, equivalent formulations</w:t>
            </w:r>
          </w:p>
        </w:tc>
        <w:tc>
          <w:tcPr>
            <w:tcW w:type="dxa" w:w="2208"/>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pPr>
            <w:r>
              <w:t xml:space="preserve">Parts A and B; Investigate on equivalent formulations with nulls</w:t>
            </w:r>
          </w:p>
        </w:tc>
        <w:tc>
          <w:tcPr>
            <w:tcW w:type="dxa" w:w="2211"/>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pPr>
            <w:r>
              <w:t xml:space="preserve">CLO3, CLO4</w:t>
            </w:r>
          </w:p>
        </w:tc>
      </w:tr>
      <w:tr>
        <w:trPr>
          <w:cantSplit/>
        </w:trPr>
        <w:tc>
          <w:tcPr>
            <w:tcW w:type="dxa" w:w="1405"/>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pPr>
            <w:r>
              <w:t xml:space="preserve">Lab 2</w:t>
            </w:r>
          </w:p>
        </w:tc>
        <w:tc>
          <w:tcPr>
            <w:tcW w:type="dxa" w:w="1606"/>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pPr>
            <w:r>
              <w:t xml:space="preserve">19</w:t>
            </w:r>
          </w:p>
        </w:tc>
        <w:tc>
          <w:tcPr>
            <w:tcW w:type="dxa" w:w="2208"/>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pPr>
            <w:r>
              <w:t xml:space="preserve">DDL, constraints, views, parameterized queries</w:t>
            </w:r>
          </w:p>
        </w:tc>
        <w:tc>
          <w:tcPr>
            <w:tcW w:type="dxa" w:w="2208"/>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pPr>
            <w:r>
              <w:t xml:space="preserve">Constraints, views, cascades; Investigate on SQL injection</w:t>
            </w:r>
          </w:p>
        </w:tc>
        <w:tc>
          <w:tcPr>
            <w:tcW w:type="dxa" w:w="2211"/>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pPr>
            <w:r>
              <w:t xml:space="preserve">CLO2, CLO4</w:t>
            </w:r>
          </w:p>
        </w:tc>
      </w:tr>
      <w:tr>
        <w:trPr>
          <w:cantSplit/>
        </w:trPr>
        <w:tc>
          <w:tcPr>
            <w:tcW w:type="dxa" w:w="1405"/>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pPr>
            <w:r>
              <w:t xml:space="preserve">Lab 3</w:t>
            </w:r>
          </w:p>
        </w:tc>
        <w:tc>
          <w:tcPr>
            <w:tcW w:type="dxa" w:w="1606"/>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pPr>
            <w:r>
              <w:t xml:space="preserve">24, 25</w:t>
            </w:r>
          </w:p>
        </w:tc>
        <w:tc>
          <w:tcPr>
            <w:tcW w:type="dxa" w:w="2208"/>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pPr>
            <w:r>
              <w:t xml:space="preserve">UDFs, procedures, error handling; triggers, audit logs; cursor vs set-based (Investigate)</w:t>
            </w:r>
          </w:p>
        </w:tc>
        <w:tc>
          <w:tcPr>
            <w:tcW w:type="dxa" w:w="2208"/>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pPr>
            <w:r>
              <w:t xml:space="preserve">Same</w:t>
            </w:r>
          </w:p>
        </w:tc>
        <w:tc>
          <w:tcPr>
            <w:tcW w:type="dxa" w:w="2211"/>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pPr>
            <w:r>
              <w:t xml:space="preserve">CLO2, CLO4, CLO8</w:t>
            </w:r>
          </w:p>
        </w:tc>
      </w:tr>
      <w:tr>
        <w:trPr>
          <w:cantSplit/>
        </w:trPr>
        <w:tc>
          <w:tcPr>
            <w:tcW w:type="dxa" w:w="1405"/>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pPr>
            <w:r>
              <w:t xml:space="preserve">Lab 4</w:t>
            </w:r>
          </w:p>
        </w:tc>
        <w:tc>
          <w:tcPr>
            <w:tcW w:type="dxa" w:w="1606"/>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pPr>
            <w:r>
              <w:t xml:space="preserve">31</w:t>
            </w:r>
          </w:p>
        </w:tc>
        <w:tc>
          <w:tcPr>
            <w:tcW w:type="dxa" w:w="2208"/>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pPr>
            <w:r>
              <w:t xml:space="preserve">E-R design, reduction, implementation</w:t>
            </w:r>
          </w:p>
        </w:tc>
        <w:tc>
          <w:tcPr>
            <w:tcW w:type="dxa" w:w="2208"/>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pPr>
            <w:r>
              <w:t xml:space="preserve">Clinic database; Investigate on ternary vs binary (CQ6.2)</w:t>
            </w:r>
          </w:p>
        </w:tc>
        <w:tc>
          <w:tcPr>
            <w:tcW w:type="dxa" w:w="2211"/>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pPr>
            <w:r>
              <w:t xml:space="preserve">CLO2</w:t>
            </w:r>
          </w:p>
        </w:tc>
      </w:tr>
      <w:tr>
        <w:trPr>
          <w:cantSplit/>
        </w:trPr>
        <w:tc>
          <w:tcPr>
            <w:tcW w:type="dxa" w:w="1405"/>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pPr>
            <w:r>
              <w:t xml:space="preserve">Lab 5</w:t>
            </w:r>
          </w:p>
        </w:tc>
        <w:tc>
          <w:tcPr>
            <w:tcW w:type="dxa" w:w="1606"/>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pPr>
            <w:r>
              <w:t xml:space="preserve">48, 54</w:t>
            </w:r>
          </w:p>
        </w:tc>
        <w:tc>
          <w:tcPr>
            <w:tcW w:type="dxa" w:w="2208"/>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pPr>
            <w:r>
              <w:t xml:space="preserve">Indexes and plans (Investigate); concurrency with two sessions, precedence graphs</w:t>
            </w:r>
          </w:p>
        </w:tc>
        <w:tc>
          <w:tcPr>
            <w:tcW w:type="dxa" w:w="2208"/>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pPr>
            <w:r>
              <w:t xml:space="preserve">Same; concurrency teams' experiments use the same set-up</w:t>
            </w:r>
          </w:p>
        </w:tc>
        <w:tc>
          <w:tcPr>
            <w:tcW w:type="dxa" w:w="2211"/>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pPr>
            <w:r>
              <w:t xml:space="preserve">CLO6, CLO7, CLO8</w:t>
            </w:r>
          </w:p>
        </w:tc>
      </w:tr>
    </w:tbl>
    <w:p>
      <w:pPr>
        <w:spacing w:after="80"/>
      </w:pPr>
    </w:p>
    <w:p>
      <w:pPr>
        <w:pStyle w:val="Heading1"/>
      </w:pPr>
      <w:r>
        <w:t xml:space="preserve">4. Consistency with the Grading structure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8"/>
        <w:gridCol w:w="3614"/>
        <w:gridCol w:w="3816"/>
      </w:tblGrid>
      <w:tr>
        <w:trPr>
          <w:tblHeader/>
        </w:trPr>
        <w:tc>
          <w:tcPr>
            <w:tcW w:type="dxa" w:w="2208"/>
            <w:tcBorders>
              <w:top w:val="single" w:color="C9D3D8" w:sz="4"/>
              <w:left w:val="single" w:color="C9D3D8" w:sz="4"/>
              <w:bottom w:val="single" w:color="C9D3D8" w:sz="4"/>
              <w:right w:val="single" w:color="C9D3D8" w:sz="4"/>
            </w:tcBorders>
            <w:shd w:fill="1F3B4D" w:color="auto" w:val="clear"/>
            <w:tcMar>
              <w:top w:type="dxa" w:w="60"/>
              <w:left w:type="dxa" w:w="100"/>
              <w:bottom w:type="dxa" w:w="60"/>
              <w:right w:type="dxa" w:w="100"/>
            </w:tcMar>
          </w:tcPr>
          <w:p>
            <w:pPr>
              <w:spacing w:after="40"/>
            </w:pPr>
            <w:r>
              <w:rPr>
                <w:b/>
                <w:bCs/>
                <w:color w:val="FFFFFF"/>
              </w:rPr>
              <w:t xml:space="preserve">Component</w:t>
            </w:r>
          </w:p>
        </w:tc>
        <w:tc>
          <w:tcPr>
            <w:tcW w:type="dxa" w:w="3614"/>
            <w:tcBorders>
              <w:top w:val="single" w:color="C9D3D8" w:sz="4"/>
              <w:left w:val="single" w:color="C9D3D8" w:sz="4"/>
              <w:bottom w:val="single" w:color="C9D3D8" w:sz="4"/>
              <w:right w:val="single" w:color="C9D3D8" w:sz="4"/>
            </w:tcBorders>
            <w:shd w:fill="1F3B4D" w:color="auto" w:val="clear"/>
            <w:tcMar>
              <w:top w:type="dxa" w:w="60"/>
              <w:left w:type="dxa" w:w="100"/>
              <w:bottom w:type="dxa" w:w="60"/>
              <w:right w:type="dxa" w:w="100"/>
            </w:tcMar>
          </w:tcPr>
          <w:p>
            <w:pPr>
              <w:spacing w:after="40"/>
            </w:pPr>
            <w:r>
              <w:rPr>
                <w:b/>
                <w:bCs/>
                <w:color w:val="FFFFFF"/>
              </w:rPr>
              <w:t xml:space="preserve">Grading structure</w:t>
            </w:r>
          </w:p>
        </w:tc>
        <w:tc>
          <w:tcPr>
            <w:tcW w:type="dxa" w:w="3816"/>
            <w:tcBorders>
              <w:top w:val="single" w:color="C9D3D8" w:sz="4"/>
              <w:left w:val="single" w:color="C9D3D8" w:sz="4"/>
              <w:bottom w:val="single" w:color="C9D3D8" w:sz="4"/>
              <w:right w:val="single" w:color="C9D3D8" w:sz="4"/>
            </w:tcBorders>
            <w:shd w:fill="1F3B4D" w:color="auto" w:val="clear"/>
            <w:tcMar>
              <w:top w:type="dxa" w:w="60"/>
              <w:left w:type="dxa" w:w="100"/>
              <w:bottom w:type="dxa" w:w="60"/>
              <w:right w:type="dxa" w:w="100"/>
            </w:tcMar>
          </w:tcPr>
          <w:p>
            <w:pPr>
              <w:spacing w:after="40"/>
            </w:pPr>
            <w:r>
              <w:rPr>
                <w:b/>
                <w:bCs/>
                <w:color w:val="FFFFFF"/>
              </w:rPr>
              <w:t xml:space="preserve">Materials</w:t>
            </w:r>
          </w:p>
        </w:tc>
      </w:tr>
      <w:tr>
        <w:trPr>
          <w:cantSplit/>
        </w:trPr>
        <w:tc>
          <w:tcPr>
            <w:tcW w:type="dxa" w:w="2208"/>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pPr>
            <w:r>
              <w:t xml:space="preserve">Labs (row 1)</w:t>
            </w:r>
          </w:p>
        </w:tc>
        <w:tc>
          <w:tcPr>
            <w:tcW w:type="dxa" w:w="3614"/>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pPr>
            <w:r>
              <w:t xml:space="preserve">5 labs, 6% in total (1.2% each); Investigate part </w:t>
            </w:r>
            <w:r>
              <w:rPr>
                <w:rFonts w:ascii="Cambria Math" w:cs="Cambria Math" w:eastAsia="Cambria Math" w:hAnsi="Cambria Math"/>
              </w:rPr>
              <w:t xml:space="preserve">≥</w:t>
            </w:r>
            <w:r>
              <w:t xml:space="preserve"> 40% of each lab mark</w:t>
            </w:r>
          </w:p>
        </w:tc>
        <w:tc>
          <w:tcPr>
            <w:tcW w:type="dxa" w:w="3816"/>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pPr>
            <w:r>
              <w:t xml:space="preserve">Each lab 10 points; Investigate = 4, 4, 4, 4 and 5 points (40–50%). Each rubric states the rule.</w:t>
            </w:r>
          </w:p>
        </w:tc>
      </w:tr>
      <w:tr>
        <w:trPr>
          <w:cantSplit/>
        </w:trPr>
        <w:tc>
          <w:tcPr>
            <w:tcW w:type="dxa" w:w="2208"/>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pPr>
            <w:r>
              <w:t xml:space="preserve">CQ answers (row 1)</w:t>
            </w:r>
          </w:p>
        </w:tc>
        <w:tc>
          <w:tcPr>
            <w:tcW w:type="dxa" w:w="3614"/>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pPr>
            <w:r>
              <w:t xml:space="preserve">9 answers, 4% in total</w:t>
            </w:r>
          </w:p>
        </w:tc>
        <w:tc>
          <w:tcPr>
            <w:tcW w:type="dxa" w:w="3816"/>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pPr>
            <w:r>
              <w:t xml:space="preserve">Every deck that hosts a CQ discussion ends with 'choose one and submit within one week'. CQ2 has no slides (issue 1).</w:t>
            </w:r>
          </w:p>
        </w:tc>
      </w:tr>
      <w:tr>
        <w:trPr>
          <w:cantSplit/>
        </w:trPr>
        <w:tc>
          <w:tcPr>
            <w:tcW w:type="dxa" w:w="2208"/>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pPr>
            <w:r>
              <w:t xml:space="preserve">Progress test 1 (row 2)</w:t>
            </w:r>
          </w:p>
        </w:tc>
        <w:tc>
          <w:tcPr>
            <w:tcW w:type="dxa" w:w="3614"/>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pPr>
            <w:r>
              <w:t xml:space="preserve">30', 20 MCQ + 2 written; Ch. 1–5 and self-study; CLO1–CLO4</w:t>
            </w:r>
          </w:p>
        </w:tc>
        <w:tc>
          <w:tcPr>
            <w:tcW w:type="dxa" w:w="3816"/>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pPr>
            <w:r>
              <w:t xml:space="preserve">30', 20 MCQ (10 points); Ch. 1–5 with self-study and CQ1–CQ4 topics; written items not prepared (issue 5)</w:t>
            </w:r>
          </w:p>
        </w:tc>
      </w:tr>
      <w:tr>
        <w:trPr>
          <w:cantSplit/>
        </w:trPr>
        <w:tc>
          <w:tcPr>
            <w:tcW w:type="dxa" w:w="2208"/>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pPr>
            <w:r>
              <w:t xml:space="preserve">Progress test 2 (row 3)</w:t>
            </w:r>
          </w:p>
        </w:tc>
        <w:tc>
          <w:tcPr>
            <w:tcW w:type="dxa" w:w="3614"/>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pPr>
            <w:r>
              <w:t xml:space="preserve">30', 20 MCQ + 2 written; Ch. 6–7 and self-study; CLO2, CLO5</w:t>
            </w:r>
          </w:p>
        </w:tc>
        <w:tc>
          <w:tcPr>
            <w:tcW w:type="dxa" w:w="3816"/>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pPr>
            <w:r>
              <w:t xml:space="preserve">30', 20 MCQ; Ch. 6–7 with self-study and CQ6–CQ7 topics; written items not prepared (issue 5)</w:t>
            </w:r>
          </w:p>
        </w:tc>
      </w:tr>
      <w:tr>
        <w:trPr>
          <w:cantSplit/>
        </w:trPr>
        <w:tc>
          <w:tcPr>
            <w:tcW w:type="dxa" w:w="2208"/>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pPr>
            <w:r>
              <w:t xml:space="preserve">Group project (row 4)</w:t>
            </w:r>
          </w:p>
        </w:tc>
        <w:tc>
          <w:tcPr>
            <w:tcW w:type="dxa" w:w="3614"/>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pPr>
            <w:r>
              <w:t xml:space="preserve">Milestone 1 25%, report 40%, reproducibility 10%, presentation 20%, peer 5%; milestones at sessions 7, 39, 52, 56–57; panel of 2 lecturers; individual marks by contribution logs</w:t>
            </w:r>
          </w:p>
        </w:tc>
        <w:tc>
          <w:tcPr>
            <w:tcW w:type="dxa" w:w="3816"/>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pPr>
            <w:r>
              <w:t xml:space="preserve">Rubric uses exactly these weights (2.5 / 4.0 / 1.0 / 2.0 / 0.5 of 10 points); milestones, panel, contribution log, concurrency-team rule of session 52/54 all included</w:t>
            </w:r>
          </w:p>
        </w:tc>
      </w:tr>
      <w:tr>
        <w:trPr>
          <w:cantSplit/>
        </w:trPr>
        <w:tc>
          <w:tcPr>
            <w:tcW w:type="dxa" w:w="2208"/>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pPr>
            <w:r>
              <w:t xml:space="preserve">Final exam (row 5)</w:t>
            </w:r>
          </w:p>
        </w:tc>
        <w:tc>
          <w:tcPr>
            <w:tcW w:type="dxa" w:w="3614"/>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pPr>
            <w:r>
              <w:t xml:space="preserve">50 MCQ, 60', computer-marked; all chapters incl. self-study (~20% of items); </w:t>
            </w:r>
            <w:r>
              <w:rPr>
                <w:rFonts w:ascii="Cambria Math" w:cs="Cambria Math" w:eastAsia="Cambria Math" w:hAnsi="Cambria Math"/>
              </w:rPr>
              <w:t xml:space="preserve">≥</w:t>
            </w:r>
            <w:r>
              <w:t xml:space="preserve"> 30% at Analyze level; </w:t>
            </w:r>
            <w:r>
              <w:rPr>
                <w:rFonts w:ascii="Cambria Math" w:cs="Cambria Math" w:eastAsia="Cambria Math" w:hAnsi="Cambria Math"/>
              </w:rPr>
              <w:t xml:space="preserve">≥</w:t>
            </w:r>
            <w:r>
              <w:t xml:space="preserve"> 70% change between forms; CLO1–CLO7</w:t>
            </w:r>
          </w:p>
        </w:tc>
        <w:tc>
          <w:tcPr>
            <w:tcW w:type="dxa" w:w="3816"/>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pPr>
            <w:r>
              <w:t xml:space="preserve">Bank of 400 MCQ with level, CLO, source, practice/theory and self-study tags; guidance for composing forms (issue 7)</w:t>
            </w:r>
          </w:p>
        </w:tc>
      </w:tr>
    </w:tbl>
    <w:p>
      <w:pPr>
        <w:spacing w:after="80"/>
      </w:pPr>
    </w:p>
    <w:p>
      <w:pPr>
        <w:pStyle w:val="Heading1"/>
      </w:pPr>
      <w:r>
        <w:t xml:space="preserve">5. Consistency with the CLOs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47"/>
        <w:gridCol w:w="1835"/>
        <w:gridCol w:w="1606"/>
        <w:gridCol w:w="1835"/>
        <w:gridCol w:w="1606"/>
        <w:gridCol w:w="1609"/>
      </w:tblGrid>
      <w:tr>
        <w:trPr>
          <w:tblHeader/>
        </w:trPr>
        <w:tc>
          <w:tcPr>
            <w:tcW w:type="dxa" w:w="1147"/>
            <w:tcBorders>
              <w:top w:val="single" w:color="C9D3D8" w:sz="4"/>
              <w:left w:val="single" w:color="C9D3D8" w:sz="4"/>
              <w:bottom w:val="single" w:color="C9D3D8" w:sz="4"/>
              <w:right w:val="single" w:color="C9D3D8" w:sz="4"/>
            </w:tcBorders>
            <w:shd w:fill="1F3B4D" w:color="auto" w:val="clear"/>
            <w:tcMar>
              <w:top w:type="dxa" w:w="60"/>
              <w:left w:type="dxa" w:w="100"/>
              <w:bottom w:type="dxa" w:w="60"/>
              <w:right w:type="dxa" w:w="100"/>
            </w:tcMar>
          </w:tcPr>
          <w:p>
            <w:pPr>
              <w:spacing w:after="40"/>
            </w:pPr>
            <w:r>
              <w:rPr>
                <w:b/>
                <w:bCs/>
                <w:color w:val="FFFFFF"/>
              </w:rPr>
              <w:t xml:space="preserve">CLO</w:t>
            </w:r>
          </w:p>
        </w:tc>
        <w:tc>
          <w:tcPr>
            <w:tcW w:type="dxa" w:w="1835"/>
            <w:tcBorders>
              <w:top w:val="single" w:color="C9D3D8" w:sz="4"/>
              <w:left w:val="single" w:color="C9D3D8" w:sz="4"/>
              <w:bottom w:val="single" w:color="C9D3D8" w:sz="4"/>
              <w:right w:val="single" w:color="C9D3D8" w:sz="4"/>
            </w:tcBorders>
            <w:shd w:fill="1F3B4D" w:color="auto" w:val="clear"/>
            <w:tcMar>
              <w:top w:type="dxa" w:w="60"/>
              <w:left w:type="dxa" w:w="100"/>
              <w:bottom w:type="dxa" w:w="60"/>
              <w:right w:type="dxa" w:w="100"/>
            </w:tcMar>
          </w:tcPr>
          <w:p>
            <w:pPr>
              <w:spacing w:after="40"/>
            </w:pPr>
            <w:r>
              <w:rPr>
                <w:b/>
                <w:bCs/>
                <w:color w:val="FFFFFF"/>
              </w:rPr>
              <w:t xml:space="preserve">Slides (chapters)</w:t>
            </w:r>
          </w:p>
        </w:tc>
        <w:tc>
          <w:tcPr>
            <w:tcW w:type="dxa" w:w="1606"/>
            <w:tcBorders>
              <w:top w:val="single" w:color="C9D3D8" w:sz="4"/>
              <w:left w:val="single" w:color="C9D3D8" w:sz="4"/>
              <w:bottom w:val="single" w:color="C9D3D8" w:sz="4"/>
              <w:right w:val="single" w:color="C9D3D8" w:sz="4"/>
            </w:tcBorders>
            <w:shd w:fill="1F3B4D" w:color="auto" w:val="clear"/>
            <w:tcMar>
              <w:top w:type="dxa" w:w="60"/>
              <w:left w:type="dxa" w:w="100"/>
              <w:bottom w:type="dxa" w:w="60"/>
              <w:right w:type="dxa" w:w="100"/>
            </w:tcMar>
          </w:tcPr>
          <w:p>
            <w:pPr>
              <w:spacing w:after="40"/>
            </w:pPr>
            <w:r>
              <w:rPr>
                <w:b/>
                <w:bCs/>
                <w:color w:val="FFFFFF"/>
              </w:rPr>
              <w:t xml:space="preserve">Labs</w:t>
            </w:r>
          </w:p>
        </w:tc>
        <w:tc>
          <w:tcPr>
            <w:tcW w:type="dxa" w:w="1835"/>
            <w:tcBorders>
              <w:top w:val="single" w:color="C9D3D8" w:sz="4"/>
              <w:left w:val="single" w:color="C9D3D8" w:sz="4"/>
              <w:bottom w:val="single" w:color="C9D3D8" w:sz="4"/>
              <w:right w:val="single" w:color="C9D3D8" w:sz="4"/>
            </w:tcBorders>
            <w:shd w:fill="1F3B4D" w:color="auto" w:val="clear"/>
            <w:tcMar>
              <w:top w:type="dxa" w:w="60"/>
              <w:left w:type="dxa" w:w="100"/>
              <w:bottom w:type="dxa" w:w="60"/>
              <w:right w:type="dxa" w:w="100"/>
            </w:tcMar>
          </w:tcPr>
          <w:p>
            <w:pPr>
              <w:spacing w:after="40"/>
            </w:pPr>
            <w:r>
              <w:rPr>
                <w:b/>
                <w:bCs/>
                <w:color w:val="FFFFFF"/>
              </w:rPr>
              <w:t xml:space="preserve">Project</w:t>
            </w:r>
          </w:p>
        </w:tc>
        <w:tc>
          <w:tcPr>
            <w:tcW w:type="dxa" w:w="1606"/>
            <w:tcBorders>
              <w:top w:val="single" w:color="C9D3D8" w:sz="4"/>
              <w:left w:val="single" w:color="C9D3D8" w:sz="4"/>
              <w:bottom w:val="single" w:color="C9D3D8" w:sz="4"/>
              <w:right w:val="single" w:color="C9D3D8" w:sz="4"/>
            </w:tcBorders>
            <w:shd w:fill="1F3B4D" w:color="auto" w:val="clear"/>
            <w:tcMar>
              <w:top w:type="dxa" w:w="60"/>
              <w:left w:type="dxa" w:w="100"/>
              <w:bottom w:type="dxa" w:w="60"/>
              <w:right w:type="dxa" w:w="100"/>
            </w:tcMar>
          </w:tcPr>
          <w:p>
            <w:pPr>
              <w:spacing w:after="40"/>
            </w:pPr>
            <w:r>
              <w:rPr>
                <w:b/>
                <w:bCs/>
                <w:color w:val="FFFFFF"/>
              </w:rPr>
              <w:t xml:space="preserve">Progress tests</w:t>
            </w:r>
          </w:p>
        </w:tc>
        <w:tc>
          <w:tcPr>
            <w:tcW w:type="dxa" w:w="1609"/>
            <w:tcBorders>
              <w:top w:val="single" w:color="C9D3D8" w:sz="4"/>
              <w:left w:val="single" w:color="C9D3D8" w:sz="4"/>
              <w:bottom w:val="single" w:color="C9D3D8" w:sz="4"/>
              <w:right w:val="single" w:color="C9D3D8" w:sz="4"/>
            </w:tcBorders>
            <w:shd w:fill="1F3B4D" w:color="auto" w:val="clear"/>
            <w:tcMar>
              <w:top w:type="dxa" w:w="60"/>
              <w:left w:type="dxa" w:w="100"/>
              <w:bottom w:type="dxa" w:w="60"/>
              <w:right w:type="dxa" w:w="100"/>
            </w:tcMar>
          </w:tcPr>
          <w:p>
            <w:pPr>
              <w:spacing w:after="40"/>
            </w:pPr>
            <w:r>
              <w:rPr>
                <w:b/>
                <w:bCs/>
                <w:color w:val="FFFFFF"/>
              </w:rPr>
              <w:t xml:space="preserve">Final bank (items)</w:t>
            </w:r>
          </w:p>
        </w:tc>
      </w:tr>
      <w:tr>
        <w:trPr>
          <w:cantSplit/>
        </w:trPr>
        <w:tc>
          <w:tcPr>
            <w:tcW w:type="dxa" w:w="1147"/>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pPr>
            <w:r>
              <w:t xml:space="preserve">CLO1</w:t>
            </w:r>
          </w:p>
        </w:tc>
        <w:tc>
          <w:tcPr>
            <w:tcW w:type="dxa" w:w="1835"/>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pPr>
            <w:r>
              <w:t xml:space="preserve">1</w:t>
            </w:r>
          </w:p>
        </w:tc>
        <w:tc>
          <w:tcPr>
            <w:tcW w:type="dxa" w:w="1606"/>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pPr>
            <w:r>
              <w:t xml:space="preserve">–</w:t>
            </w:r>
          </w:p>
        </w:tc>
        <w:tc>
          <w:tcPr>
            <w:tcW w:type="dxa" w:w="1835"/>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pPr>
            <w:r>
              <w:t xml:space="preserve">–</w:t>
            </w:r>
          </w:p>
        </w:tc>
        <w:tc>
          <w:tcPr>
            <w:tcW w:type="dxa" w:w="1606"/>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pPr>
            <w:r>
              <w:t xml:space="preserve">PT1</w:t>
            </w:r>
          </w:p>
        </w:tc>
        <w:tc>
          <w:tcPr>
            <w:tcW w:type="dxa" w:w="1609"/>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pPr>
            <w:r>
              <w:t xml:space="preserve">25</w:t>
            </w:r>
          </w:p>
        </w:tc>
      </w:tr>
      <w:tr>
        <w:trPr>
          <w:cantSplit/>
        </w:trPr>
        <w:tc>
          <w:tcPr>
            <w:tcW w:type="dxa" w:w="1147"/>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pPr>
            <w:r>
              <w:t xml:space="preserve">CLO2</w:t>
            </w:r>
          </w:p>
        </w:tc>
        <w:tc>
          <w:tcPr>
            <w:tcW w:type="dxa" w:w="1835"/>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pPr>
            <w:r>
              <w:t xml:space="preserve">2, 4, 6</w:t>
            </w:r>
          </w:p>
        </w:tc>
        <w:tc>
          <w:tcPr>
            <w:tcW w:type="dxa" w:w="1606"/>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pPr>
            <w:r>
              <w:t xml:space="preserve">2, 3, 4</w:t>
            </w:r>
          </w:p>
        </w:tc>
        <w:tc>
          <w:tcPr>
            <w:tcW w:type="dxa" w:w="1835"/>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pPr>
            <w:r>
              <w:t xml:space="preserve">Milestone 1</w:t>
            </w:r>
          </w:p>
        </w:tc>
        <w:tc>
          <w:tcPr>
            <w:tcW w:type="dxa" w:w="1606"/>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pPr>
            <w:r>
              <w:t xml:space="preserve">PT2</w:t>
            </w:r>
          </w:p>
        </w:tc>
        <w:tc>
          <w:tcPr>
            <w:tcW w:type="dxa" w:w="1609"/>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pPr>
            <w:r>
              <w:t xml:space="preserve">42</w:t>
            </w:r>
          </w:p>
        </w:tc>
      </w:tr>
      <w:tr>
        <w:trPr>
          <w:cantSplit/>
        </w:trPr>
        <w:tc>
          <w:tcPr>
            <w:tcW w:type="dxa" w:w="1147"/>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pPr>
            <w:r>
              <w:t xml:space="preserve">CLO3</w:t>
            </w:r>
          </w:p>
        </w:tc>
        <w:tc>
          <w:tcPr>
            <w:tcW w:type="dxa" w:w="1835"/>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pPr>
            <w:r>
              <w:t xml:space="preserve">2, 3, 4</w:t>
            </w:r>
          </w:p>
        </w:tc>
        <w:tc>
          <w:tcPr>
            <w:tcW w:type="dxa" w:w="1606"/>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pPr>
            <w:r>
              <w:t xml:space="preserve">1</w:t>
            </w:r>
          </w:p>
        </w:tc>
        <w:tc>
          <w:tcPr>
            <w:tcW w:type="dxa" w:w="1835"/>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pPr>
            <w:r>
              <w:t xml:space="preserve">–</w:t>
            </w:r>
          </w:p>
        </w:tc>
        <w:tc>
          <w:tcPr>
            <w:tcW w:type="dxa" w:w="1606"/>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pPr>
            <w:r>
              <w:t xml:space="preserve">PT1</w:t>
            </w:r>
          </w:p>
        </w:tc>
        <w:tc>
          <w:tcPr>
            <w:tcW w:type="dxa" w:w="1609"/>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pPr>
            <w:r>
              <w:t xml:space="preserve">40</w:t>
            </w:r>
          </w:p>
        </w:tc>
      </w:tr>
      <w:tr>
        <w:trPr>
          <w:cantSplit/>
        </w:trPr>
        <w:tc>
          <w:tcPr>
            <w:tcW w:type="dxa" w:w="1147"/>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pPr>
            <w:r>
              <w:t xml:space="preserve">CLO4</w:t>
            </w:r>
          </w:p>
        </w:tc>
        <w:tc>
          <w:tcPr>
            <w:tcW w:type="dxa" w:w="1835"/>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pPr>
            <w:r>
              <w:t xml:space="preserve">3, 4, 5</w:t>
            </w:r>
          </w:p>
        </w:tc>
        <w:tc>
          <w:tcPr>
            <w:tcW w:type="dxa" w:w="1606"/>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pPr>
            <w:r>
              <w:t xml:space="preserve">1, 2, 3</w:t>
            </w:r>
          </w:p>
        </w:tc>
        <w:tc>
          <w:tcPr>
            <w:tcW w:type="dxa" w:w="1835"/>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pPr>
            <w:r>
              <w:t xml:space="preserve">Database part</w:t>
            </w:r>
          </w:p>
        </w:tc>
        <w:tc>
          <w:tcPr>
            <w:tcW w:type="dxa" w:w="1606"/>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pPr>
            <w:r>
              <w:t xml:space="preserve">PT1</w:t>
            </w:r>
          </w:p>
        </w:tc>
        <w:tc>
          <w:tcPr>
            <w:tcW w:type="dxa" w:w="1609"/>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pPr>
            <w:r>
              <w:t xml:space="preserve">128</w:t>
            </w:r>
          </w:p>
        </w:tc>
      </w:tr>
      <w:tr>
        <w:trPr>
          <w:cantSplit/>
        </w:trPr>
        <w:tc>
          <w:tcPr>
            <w:tcW w:type="dxa" w:w="1147"/>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pPr>
            <w:r>
              <w:t xml:space="preserve">CLO5</w:t>
            </w:r>
          </w:p>
        </w:tc>
        <w:tc>
          <w:tcPr>
            <w:tcW w:type="dxa" w:w="1835"/>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pPr>
            <w:r>
              <w:t xml:space="preserve">7</w:t>
            </w:r>
          </w:p>
        </w:tc>
        <w:tc>
          <w:tcPr>
            <w:tcW w:type="dxa" w:w="1606"/>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pPr>
            <w:r>
              <w:t xml:space="preserve">–</w:t>
            </w:r>
          </w:p>
        </w:tc>
        <w:tc>
          <w:tcPr>
            <w:tcW w:type="dxa" w:w="1835"/>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pPr>
            <w:r>
              <w:t xml:space="preserve">Milestone 1</w:t>
            </w:r>
          </w:p>
        </w:tc>
        <w:tc>
          <w:tcPr>
            <w:tcW w:type="dxa" w:w="1606"/>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pPr>
            <w:r>
              <w:t xml:space="preserve">PT2</w:t>
            </w:r>
          </w:p>
        </w:tc>
        <w:tc>
          <w:tcPr>
            <w:tcW w:type="dxa" w:w="1609"/>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pPr>
            <w:r>
              <w:t xml:space="preserve">53</w:t>
            </w:r>
          </w:p>
        </w:tc>
      </w:tr>
      <w:tr>
        <w:trPr>
          <w:cantSplit/>
        </w:trPr>
        <w:tc>
          <w:tcPr>
            <w:tcW w:type="dxa" w:w="1147"/>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pPr>
            <w:r>
              <w:t xml:space="preserve">CLO6</w:t>
            </w:r>
          </w:p>
        </w:tc>
        <w:tc>
          <w:tcPr>
            <w:tcW w:type="dxa" w:w="1835"/>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pPr>
            <w:r>
              <w:t xml:space="preserve">8, 9</w:t>
            </w:r>
          </w:p>
        </w:tc>
        <w:tc>
          <w:tcPr>
            <w:tcW w:type="dxa" w:w="1606"/>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pPr>
            <w:r>
              <w:t xml:space="preserve">5</w:t>
            </w:r>
          </w:p>
        </w:tc>
        <w:tc>
          <w:tcPr>
            <w:tcW w:type="dxa" w:w="1835"/>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pPr>
            <w:r>
              <w:t xml:space="preserve">Research tracks</w:t>
            </w:r>
          </w:p>
        </w:tc>
        <w:tc>
          <w:tcPr>
            <w:tcW w:type="dxa" w:w="1606"/>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pPr>
            <w:r>
              <w:t xml:space="preserve">–</w:t>
            </w:r>
          </w:p>
        </w:tc>
        <w:tc>
          <w:tcPr>
            <w:tcW w:type="dxa" w:w="1609"/>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pPr>
            <w:r>
              <w:t xml:space="preserve">72</w:t>
            </w:r>
          </w:p>
        </w:tc>
      </w:tr>
      <w:tr>
        <w:trPr>
          <w:cantSplit/>
        </w:trPr>
        <w:tc>
          <w:tcPr>
            <w:tcW w:type="dxa" w:w="1147"/>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pPr>
            <w:r>
              <w:t xml:space="preserve">CLO7</w:t>
            </w:r>
          </w:p>
        </w:tc>
        <w:tc>
          <w:tcPr>
            <w:tcW w:type="dxa" w:w="1835"/>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pPr>
            <w:r>
              <w:t xml:space="preserve">10</w:t>
            </w:r>
          </w:p>
        </w:tc>
        <w:tc>
          <w:tcPr>
            <w:tcW w:type="dxa" w:w="1606"/>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pPr>
            <w:r>
              <w:t xml:space="preserve">5</w:t>
            </w:r>
          </w:p>
        </w:tc>
        <w:tc>
          <w:tcPr>
            <w:tcW w:type="dxa" w:w="1835"/>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pPr>
            <w:r>
              <w:t xml:space="preserve">Concurrency track</w:t>
            </w:r>
          </w:p>
        </w:tc>
        <w:tc>
          <w:tcPr>
            <w:tcW w:type="dxa" w:w="1606"/>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pPr>
            <w:r>
              <w:t xml:space="preserve">–</w:t>
            </w:r>
          </w:p>
        </w:tc>
        <w:tc>
          <w:tcPr>
            <w:tcW w:type="dxa" w:w="1609"/>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pPr>
            <w:r>
              <w:t xml:space="preserve">40</w:t>
            </w:r>
          </w:p>
        </w:tc>
      </w:tr>
      <w:tr>
        <w:trPr>
          <w:cantSplit/>
        </w:trPr>
        <w:tc>
          <w:tcPr>
            <w:tcW w:type="dxa" w:w="1147"/>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pPr>
            <w:r>
              <w:t xml:space="preserve">CLO8</w:t>
            </w:r>
          </w:p>
        </w:tc>
        <w:tc>
          <w:tcPr>
            <w:tcW w:type="dxa" w:w="1835"/>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pPr>
            <w:r>
              <w:t xml:space="preserve">CQs, project briefing</w:t>
            </w:r>
          </w:p>
        </w:tc>
        <w:tc>
          <w:tcPr>
            <w:tcW w:type="dxa" w:w="1606"/>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pPr>
            <w:r>
              <w:t xml:space="preserve">Investigate parts</w:t>
            </w:r>
          </w:p>
        </w:tc>
        <w:tc>
          <w:tcPr>
            <w:tcW w:type="dxa" w:w="1835"/>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pPr>
            <w:r>
              <w:t xml:space="preserve">Whole study</w:t>
            </w:r>
          </w:p>
        </w:tc>
        <w:tc>
          <w:tcPr>
            <w:tcW w:type="dxa" w:w="1606"/>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pPr>
            <w:r>
              <w:t xml:space="preserve">–</w:t>
            </w:r>
          </w:p>
        </w:tc>
        <w:tc>
          <w:tcPr>
            <w:tcW w:type="dxa" w:w="1609"/>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pPr>
            <w:r>
              <w:t xml:space="preserve">– (not examined, as in the Grading structure)</w:t>
            </w:r>
          </w:p>
        </w:tc>
      </w:tr>
    </w:tbl>
    <w:p>
      <w:pPr>
        <w:spacing w:after="80"/>
      </w:pPr>
    </w:p>
    <w:p>
      <w:pPr>
        <w:spacing w:after="100"/>
      </w:pPr>
      <w:r>
        <w:t xml:space="preserve">Every CLO is taught and assessed. CLO8 is assessed by the labs' Investigate parts, the CQ answers and the project, and not by the final exam, which matches the CLO list of Grading row 5.</w:t>
      </w:r>
    </w:p>
    <w:p>
      <w:pPr>
        <w:pStyle w:val="Heading1"/>
      </w:pPr>
      <w:r>
        <w:t xml:space="preserve">6. Consistency with the course objectives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6426"/>
      </w:tblGrid>
      <w:tr>
        <w:trPr>
          <w:tblHeader/>
        </w:trPr>
        <w:tc>
          <w:tcPr>
            <w:tcW w:type="dxa" w:w="3212"/>
            <w:tcBorders>
              <w:top w:val="single" w:color="C9D3D8" w:sz="4"/>
              <w:left w:val="single" w:color="C9D3D8" w:sz="4"/>
              <w:bottom w:val="single" w:color="C9D3D8" w:sz="4"/>
              <w:right w:val="single" w:color="C9D3D8" w:sz="4"/>
            </w:tcBorders>
            <w:shd w:fill="1F3B4D" w:color="auto" w:val="clear"/>
            <w:tcMar>
              <w:top w:type="dxa" w:w="60"/>
              <w:left w:type="dxa" w:w="100"/>
              <w:bottom w:type="dxa" w:w="60"/>
              <w:right w:type="dxa" w:w="100"/>
            </w:tcMar>
          </w:tcPr>
          <w:p>
            <w:pPr>
              <w:spacing w:after="40"/>
            </w:pPr>
            <w:r>
              <w:rPr>
                <w:b/>
                <w:bCs/>
                <w:color w:val="FFFFFF"/>
              </w:rPr>
              <w:t xml:space="preserve">Objective</w:t>
            </w:r>
          </w:p>
        </w:tc>
        <w:tc>
          <w:tcPr>
            <w:tcW w:type="dxa" w:w="6426"/>
            <w:tcBorders>
              <w:top w:val="single" w:color="C9D3D8" w:sz="4"/>
              <w:left w:val="single" w:color="C9D3D8" w:sz="4"/>
              <w:bottom w:val="single" w:color="C9D3D8" w:sz="4"/>
              <w:right w:val="single" w:color="C9D3D8" w:sz="4"/>
            </w:tcBorders>
            <w:shd w:fill="1F3B4D" w:color="auto" w:val="clear"/>
            <w:tcMar>
              <w:top w:type="dxa" w:w="60"/>
              <w:left w:type="dxa" w:w="100"/>
              <w:bottom w:type="dxa" w:w="60"/>
              <w:right w:type="dxa" w:w="100"/>
            </w:tcMar>
          </w:tcPr>
          <w:p>
            <w:pPr>
              <w:spacing w:after="40"/>
            </w:pPr>
            <w:r>
              <w:rPr>
                <w:b/>
                <w:bCs/>
                <w:color w:val="FFFFFF"/>
              </w:rPr>
              <w:t xml:space="preserve">Where the materials address it</w:t>
            </w:r>
          </w:p>
        </w:tc>
      </w:tr>
      <w:tr>
        <w:trPr>
          <w:cantSplit/>
        </w:trPr>
        <w:tc>
          <w:tcPr>
            <w:tcW w:type="dxa" w:w="3212"/>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pPr>
            <w:r>
              <w:t xml:space="preserve">Formal foundations (relations as sets, keys and constraints as logic)</w:t>
            </w:r>
          </w:p>
        </w:tc>
        <w:tc>
          <w:tcPr>
            <w:tcW w:type="dxa" w:w="6426"/>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pPr>
            <w:r>
              <w:t xml:space="preserve">Chapter_2 deck; PT1 items on superkeys; Lab 1 Investigate on three-valued logic</w:t>
            </w:r>
          </w:p>
        </w:tc>
      </w:tr>
      <w:tr>
        <w:trPr>
          <w:cantSplit/>
        </w:trPr>
        <w:tc>
          <w:tcPr>
            <w:tcW w:type="dxa" w:w="3212"/>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pPr>
            <w:r>
              <w:t xml:space="preserve">E-R design and conversion to relations</w:t>
            </w:r>
          </w:p>
        </w:tc>
        <w:tc>
          <w:tcPr>
            <w:tcW w:type="dxa" w:w="6426"/>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pPr>
            <w:r>
              <w:t xml:space="preserve">Chapter_6 deck; Lab 4; project milestone 1; PT2</w:t>
            </w:r>
          </w:p>
        </w:tc>
      </w:tr>
      <w:tr>
        <w:trPr>
          <w:cantSplit/>
        </w:trPr>
        <w:tc>
          <w:tcPr>
            <w:tcW w:type="dxa" w:w="3212"/>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pPr>
            <w:r>
              <w:t xml:space="preserve">Algebra, calculus, SQL and expressive power</w:t>
            </w:r>
          </w:p>
        </w:tc>
        <w:tc>
          <w:tcPr>
            <w:tcW w:type="dxa" w:w="6426"/>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pPr>
            <w:r>
              <w:t xml:space="preserve">Chapter_2–4 decks (transitive closure, Codd's theorem); bank items on safety and recursion</w:t>
            </w:r>
          </w:p>
        </w:tc>
      </w:tr>
      <w:tr>
        <w:trPr>
          <w:cantSplit/>
        </w:trPr>
        <w:tc>
          <w:tcPr>
            <w:tcW w:type="dxa" w:w="3212"/>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pPr>
            <w:r>
              <w:t xml:space="preserve">FD theory, algorithms and proofs</w:t>
            </w:r>
          </w:p>
        </w:tc>
        <w:tc>
          <w:tcPr>
            <w:tcW w:type="dxa" w:w="6426"/>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pPr>
            <w:r>
              <w:t xml:space="preserve">Chapter_7 deck (soundness proofs, lossless-join proof sketch, algorithms); PT2; bank items on derivations</w:t>
            </w:r>
          </w:p>
        </w:tc>
      </w:tr>
      <w:tr>
        <w:trPr>
          <w:cantSplit/>
        </w:trPr>
        <w:tc>
          <w:tcPr>
            <w:tcW w:type="dxa" w:w="3212"/>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pPr>
            <w:r>
              <w:t xml:space="preserve">Cost and complexity of storage, indexing, query processing</w:t>
            </w:r>
          </w:p>
        </w:tc>
        <w:tc>
          <w:tcPr>
            <w:tcW w:type="dxa" w:w="6426"/>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pPr>
            <w:r>
              <w:t xml:space="preserve">Chapter_8–9 decks (height analysis, join cost table, join-order count); Lab 5 part 1</w:t>
            </w:r>
          </w:p>
        </w:tc>
      </w:tr>
      <w:tr>
        <w:trPr>
          <w:cantSplit/>
        </w:trPr>
        <w:tc>
          <w:tcPr>
            <w:tcW w:type="dxa" w:w="3212"/>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pPr>
            <w:r>
              <w:t xml:space="preserve">Transactions, concurrency control, recovery</w:t>
            </w:r>
          </w:p>
        </w:tc>
        <w:tc>
          <w:tcPr>
            <w:tcW w:type="dxa" w:w="6426"/>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pPr>
            <w:r>
              <w:t xml:space="preserve">Chapter_10 deck; Lab 5 part 2; bank items on schedules, 2PL, WAL and recovery</w:t>
            </w:r>
          </w:p>
        </w:tc>
      </w:tr>
      <w:tr>
        <w:trPr>
          <w:cantSplit/>
        </w:trPr>
        <w:tc>
          <w:tcPr>
            <w:tcW w:type="dxa" w:w="3212"/>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pPr>
            <w:r>
              <w:t xml:space="preserve">Research-style questions and small experiments</w:t>
            </w:r>
          </w:p>
        </w:tc>
        <w:tc>
          <w:tcPr>
            <w:tcW w:type="dxa" w:w="6426"/>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pPr>
            <w:r>
              <w:t xml:space="preserve">27 CQ slides; Investigate parts of all labs; project research study</w:t>
            </w:r>
          </w:p>
        </w:tc>
      </w:tr>
    </w:tbl>
    <w:p>
      <w:pPr>
        <w:spacing w:after="80"/>
      </w:pPr>
    </w:p>
    <w:p>
      <w:pPr>
        <w:pStyle w:val="Heading1"/>
      </w:pPr>
      <w:r>
        <w:t xml:space="preserve">7. Consistency between the tasks</w:t>
      </w:r>
    </w:p>
    <w:p>
      <w:pPr>
        <w:pStyle w:val="ListParagraph"/>
        <w:numPr>
          <w:ilvl w:val="0"/>
          <w:numId w:val="2"/>
        </w:numPr>
        <w:spacing w:after="60"/>
      </w:pPr>
      <w:r>
        <w:t xml:space="preserve">One schema everywhere: the slides, the lab database and most exam items use the DSC university schema (instructor, student, takes, …). The lab data was written for the course; it is not the textbook's data set.</w:t>
      </w:r>
    </w:p>
    <w:p>
      <w:pPr>
        <w:pStyle w:val="ListParagraph"/>
        <w:numPr>
          <w:ilvl w:val="0"/>
          <w:numId w:val="2"/>
        </w:numPr>
        <w:spacing w:after="60"/>
      </w:pPr>
      <w:r>
        <w:t xml:space="preserve">SQL Server specifics are stated the same way in slides, labs and items: no natural join/using, identity(1, 1), with (not with recursive) and union all for recursion, indexed views, read committed as default level, error 1205 for deadlocks.</w:t>
      </w:r>
    </w:p>
    <w:p>
      <w:pPr>
        <w:pStyle w:val="ListParagraph"/>
        <w:numPr>
          <w:ilvl w:val="0"/>
          <w:numId w:val="2"/>
        </w:numPr>
        <w:spacing w:after="60"/>
      </w:pPr>
      <w:r>
        <w:t xml:space="preserve">Lab results match the slide content: e.g. Lab 1's three formulations explain CQ3.2; Lab 4's counterexample is CQ6.2; Lab 5 part 1 reproduces the 'scan beats index' claim of the Chapter_8 exercise and CQ8.2; Lab 5 part 2 reproduces the anomaly table of §17.8.</w:t>
      </w:r>
    </w:p>
    <w:p>
      <w:pPr>
        <w:pStyle w:val="ListParagraph"/>
        <w:numPr>
          <w:ilvl w:val="0"/>
          <w:numId w:val="2"/>
        </w:numPr>
        <w:spacing w:after="60"/>
      </w:pPr>
      <w:r>
        <w:t xml:space="preserve">The progress tests and the final bank do not share items, so the bank can be used without exposing PT questions.</w:t>
      </w:r>
    </w:p>
    <w:p>
      <w:pPr>
        <w:pStyle w:val="Heading1"/>
      </w:pPr>
      <w:r>
        <w:t xml:space="preserve">8. Issues that need a decision</w:t>
      </w:r>
    </w:p>
    <w:p>
      <w:pPr>
        <w:pStyle w:val="ListParagraph"/>
        <w:numPr>
          <w:ilvl w:val="0"/>
          <w:numId w:val="3"/>
        </w:numPr>
        <w:spacing w:after="60"/>
      </w:pPr>
      <w:r>
        <w:rPr>
          <w:b/>
          <w:bCs/>
        </w:rPr>
        <w:t xml:space="preserve">CQ2.1–CQ2.3 have no slides.</w:t>
      </w:r>
      <w:r>
        <w:t xml:space="preserve"> They are discussed in session 8, which was not in the requested list for Chapter</w:t>
      </w:r>
      <w:r>
        <w:rPr>
          <w:i/>
          <w:iCs/>
        </w:rPr>
        <w:t xml:space="preserve">2 (sessions 4–6). Option: add three CQ slides (and an exercise slide for session 8) to Chapter</w:t>
      </w:r>
      <w:r>
        <w:t xml:space="preserve">2.pptx.</w:t>
      </w:r>
    </w:p>
    <w:p>
      <w:pPr>
        <w:pStyle w:val="ListParagraph"/>
        <w:numPr>
          <w:ilvl w:val="0"/>
          <w:numId w:val="3"/>
        </w:numPr>
        <w:spacing w:after="60"/>
      </w:pPr>
      <w:r>
        <w:rPr>
          <w:b/>
          <w:bCs/>
        </w:rPr>
        <w:t xml:space="preserve">Session 18 is in Chapter_5.pptx</w:t>
      </w:r>
      <w:r>
        <w:t xml:space="preserve"> as requested, while the Schedule labels its material 'Slides: Chapter 4'. Option: change the Schedule label to 'Slides: Chapter 5', or move the session-18 slides into Chapter_4.pptx.</w:t>
      </w:r>
    </w:p>
    <w:p>
      <w:pPr>
        <w:pStyle w:val="ListParagraph"/>
        <w:numPr>
          <w:ilvl w:val="0"/>
          <w:numId w:val="3"/>
        </w:numPr>
        <w:spacing w:after="60"/>
      </w:pPr>
      <w:r>
        <w:rPr>
          <w:b/>
          <w:bCs/>
        </w:rPr>
        <w:t xml:space="preserve">Session 41 (storage) was added to Chapter_8.pptx</w:t>
      </w:r>
      <w:r>
        <w:t xml:space="preserve"> because the Schedule assigns 'Slides: Chapter 8' to it but the request listed only sessions 42–44. The five session-41 slides are marked in the speaker notes and can be removed.</w:t>
      </w:r>
    </w:p>
    <w:p>
      <w:pPr>
        <w:pStyle w:val="ListParagraph"/>
        <w:numPr>
          <w:ilvl w:val="0"/>
          <w:numId w:val="3"/>
        </w:numPr>
        <w:spacing w:after="60"/>
      </w:pPr>
      <w:r>
        <w:rPr>
          <w:b/>
          <w:bCs/>
        </w:rPr>
        <w:t xml:space="preserve">Lab length.</w:t>
      </w:r>
      <w:r>
        <w:t xml:space="preserve"> The syllabus gives 45 hours for 60 sessions, i.e. 45 minutes per session. Lab 2 and Lab 4 have one session each, so the handouts ask students to prepare before the session (Lab 4 publishes its requirements one week earlier). Please confirm this practice, or allow submission shortly after the session.</w:t>
      </w:r>
    </w:p>
    <w:p>
      <w:pPr>
        <w:pStyle w:val="ListParagraph"/>
        <w:numPr>
          <w:ilvl w:val="0"/>
          <w:numId w:val="3"/>
        </w:numPr>
        <w:spacing w:after="60"/>
      </w:pPr>
      <w:r>
        <w:rPr>
          <w:b/>
          <w:bCs/>
        </w:rPr>
        <w:t xml:space="preserve">Progress tests: 2 written items.</w:t>
      </w:r>
      <w:r>
        <w:t xml:space="preserve"> The Grading structure specifies '20 MCQ + 2 written' for each progress test (PT1: an algebra/calculus proof or query and an SQL-semantics or T-SQL reasoning item; PT2: an E-R design and reduction task and an FD proof or normalization task). The request asked for 20 MCQ, so the written items were not prepared. Option: add them with a marking guide, or change the Grading structure to 20 MCQ only.</w:t>
      </w:r>
    </w:p>
    <w:p>
      <w:pPr>
        <w:pStyle w:val="ListParagraph"/>
        <w:numPr>
          <w:ilvl w:val="0"/>
          <w:numId w:val="3"/>
        </w:numPr>
        <w:spacing w:after="60"/>
      </w:pPr>
      <w:r>
        <w:rPr>
          <w:b/>
          <w:bCs/>
        </w:rPr>
        <w:t xml:space="preserve">Project: AI-use statement.</w:t>
      </w:r>
      <w:r>
        <w:t xml:space="preserve"> The Grading structure gives 0 for undisclosed AI-generated content. To make this checkable, the brief asks every report to end with a statement of the tools used. Please confirm.</w:t>
      </w:r>
    </w:p>
    <w:p>
      <w:pPr>
        <w:pStyle w:val="ListParagraph"/>
        <w:numPr>
          <w:ilvl w:val="0"/>
          <w:numId w:val="3"/>
        </w:numPr>
        <w:spacing w:after="60"/>
      </w:pPr>
      <w:r>
        <w:rPr>
          <w:b/>
          <w:bCs/>
        </w:rPr>
        <w:t xml:space="preserve">Bank proportions.</w:t>
      </w:r>
      <w:r>
        <w:t xml:space="preserve"> The bank has 83 Analyze items (21%) and 61 self-study items (15%). Each 50-item form needs 15 Analyze and about 10 self-study items, so the bank supports about five forms with no repeated Analyze item. If more forms are needed, the Analyze share of the bank should be raised.</w:t>
      </w:r>
    </w:p>
    <w:p>
      <w:pPr>
        <w:pStyle w:val="Heading1"/>
      </w:pPr>
      <w:r>
        <w:t xml:space="preserve">9. What could not be verified</w:t>
      </w:r>
    </w:p>
    <w:p>
      <w:pPr>
        <w:pStyle w:val="ListParagraph"/>
        <w:numPr>
          <w:ilvl w:val="0"/>
          <w:numId w:val="2"/>
        </w:numPr>
        <w:spacing w:after="60"/>
      </w:pPr>
      <w:r>
        <w:t xml:space="preserve">Page numbers and exact wording of DSC: the PDF was not available. All references to DSC sections follow the syllabus reading list; a check against the PDF is recommended before use, particularly the page numbers on the session slides.</w:t>
      </w:r>
    </w:p>
    <w:p>
      <w:pPr>
        <w:pStyle w:val="ListParagraph"/>
        <w:numPr>
          <w:ilvl w:val="0"/>
          <w:numId w:val="2"/>
        </w:numPr>
        <w:spacing w:after="60"/>
      </w:pPr>
      <w:r>
        <w:t xml:space="preserve">Rendering: the decks and documents passed the Office schema validation, but could not be rendered to images in this environment. A visual check in PowerPoint and Word is recommended (fonts: Cambria, Calibri, Courier New).</w:t>
      </w:r>
    </w:p>
    <w:p>
      <w:pPr>
        <w:pStyle w:val="ListParagraph"/>
        <w:numPr>
          <w:ilvl w:val="0"/>
          <w:numId w:val="2"/>
        </w:numPr>
        <w:spacing w:after="60"/>
      </w:pPr>
      <w:r>
        <w:t xml:space="preserve">Timings in Lab 3 and Lab 5 were measured in one container; lab PCs will give different absolute numbers, but the same orders of magnitude.</w:t>
      </w:r>
    </w:p>
    <w:sectPr>
      <w:headerReference w:type="default" r:id="rId6"/>
      <w:footerReference w:type="default" r:id="rId7"/>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770"/>
        <w:sz w:val="16"/>
        <w:szCs w:val="16"/>
      </w:rPr>
      <w:t xml:space="preserve">Page </w:t>
    </w:r>
    <w:r>
      <w:rPr>
        <w:color w:val="5B6770"/>
        <w:sz w:val="16"/>
        <w:szCs w:val="16"/>
      </w:rPr>
      <w:fldChar w:fldCharType="begin"/>
    </w:r>
    <w:r>
      <w:rPr>
        <w:color w:val="5B6770"/>
        <w:sz w:val="16"/>
        <w:szCs w:val="16"/>
      </w:rPr>
      <w:instrText xml:space="preserve">PAGE</w:instrText>
    </w:r>
    <w:r>
      <w:rPr>
        <w:color w:val="5B6770"/>
        <w:sz w:val="16"/>
        <w:szCs w:val="16"/>
      </w:rPr>
      <w:fldChar w:fldCharType="separate"/>
    </w:r>
    <w:r>
      <w:rPr>
        <w:color w:val="5B6770"/>
        <w:sz w:val="16"/>
        <w:szCs w:val="16"/>
      </w:rPr>
      <w:fldChar w:fldCharType="end"/>
    </w:r>
    <w:r>
      <w:rPr>
        <w:color w:val="5B6770"/>
        <w:sz w:val="16"/>
        <w:szCs w:val="16"/>
      </w:rPr>
      <w:t xml:space="preserve"> of </w:t>
    </w:r>
    <w:r>
      <w:rPr>
        <w:color w:val="5B6770"/>
        <w:sz w:val="16"/>
        <w:szCs w:val="16"/>
      </w:rPr>
      <w:fldChar w:fldCharType="begin"/>
    </w:r>
    <w:r>
      <w:rPr>
        <w:color w:val="5B6770"/>
        <w:sz w:val="16"/>
        <w:szCs w:val="16"/>
      </w:rPr>
      <w:instrText xml:space="preserve">NUMPAGES</w:instrText>
    </w:r>
    <w:r>
      <w:rPr>
        <w:color w:val="5B6770"/>
        <w:sz w:val="16"/>
        <w:szCs w:val="16"/>
      </w:rPr>
      <w:fldChar w:fldCharType="separate"/>
    </w:r>
    <w:r>
      <w:rPr>
        <w:color w:val="5B6770"/>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B6770"/>
        <w:sz w:val="16"/>
        <w:szCs w:val="16"/>
      </w:rPr>
      <w:t xml:space="preserve">IDB201 – Consistency review of phase-2 materials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lvl>
    <w:lvl w:ilvl="1" w:tentative="1">
      <w:start w:val="1"/>
      <w:numFmt w:val="bullet"/>
      <w:lvlText w:val="–"/>
      <w:lvlJc w:val="left"/>
      <w:pPr>
        <w:ind w:left="720" w:hanging="240"/>
      </w:pPr>
    </w:lvl>
  </w:abstractNum>
  <w:abstractNum w:abstractNumId="3" w15:restartNumberingAfterBreak="0">
    <w:multiLevelType w:val="hybridMultilevel"/>
    <w:lvl w:ilvl="0" w:tentative="1">
      <w:start w:val="1"/>
      <w:numFmt w:val="decimal"/>
      <w:lvlText w:val="%1."/>
      <w:lvlJc w:val="left"/>
      <w:pPr>
        <w:ind w:left="360" w:hanging="300"/>
      </w:pPr>
    </w:lvl>
  </w:abstractNum>
  <w:num w:numId="1">
    <w:abstractNumId w:val="1"/>
    <w:lvlOverride w:ilvl="0">
      <w:startOverride w:val="1"/>
    </w:lvlOverride>
  </w:num>
  <w:num w:numId="2">
    <w:abstractNumId w:val="2"/>
    <w:lvlOverride w:ilvl="0">
      <w:startOverride w:val="1"/>
    </w:lvlOverride>
    <w:lvlOverride w:ilvl="1">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10"/>
    </w:pPr>
  </w:style>
  <w:style w:type="paragraph" w:styleId="TOC3">
    <w:name w:val="toc 3"/>
    <w:basedOn w:val="Normal"/>
    <w:next w:val="Normal"/>
    <w:uiPriority w:val="39"/>
    <w:semiHidden/>
    <w:unhideWhenUsed/>
    <w:pPr>
      <w:spacing w:after="100"/>
      <w:ind w:left="420"/>
    </w:pPr>
  </w:style>
  <w:style w:type="paragraph" w:styleId="TOC4">
    <w:name w:val="toc 4"/>
    <w:basedOn w:val="Normal"/>
    <w:next w:val="Normal"/>
    <w:uiPriority w:val="39"/>
    <w:semiHidden/>
    <w:unhideWhenUsed/>
    <w:pPr>
      <w:spacing w:after="100"/>
      <w:ind w:left="630"/>
    </w:pPr>
  </w:style>
  <w:style w:type="paragraph" w:styleId="TOC5">
    <w:name w:val="toc 5"/>
    <w:basedOn w:val="Normal"/>
    <w:next w:val="Normal"/>
    <w:uiPriority w:val="39"/>
    <w:semiHidden/>
    <w:unhideWhenUsed/>
    <w:pPr>
      <w:spacing w:after="100"/>
      <w:ind w:left="840"/>
    </w:pPr>
  </w:style>
  <w:style w:type="paragraph" w:styleId="TOC6">
    <w:name w:val="toc 6"/>
    <w:basedOn w:val="Normal"/>
    <w:next w:val="Normal"/>
    <w:uiPriority w:val="39"/>
    <w:semiHidden/>
    <w:unhideWhenUsed/>
    <w:pPr>
      <w:spacing w:after="100"/>
      <w:ind w:left="1050"/>
    </w:pPr>
  </w:style>
  <w:style w:type="paragraph" w:styleId="TOC7">
    <w:name w:val="toc 7"/>
    <w:basedOn w:val="Normal"/>
    <w:next w:val="Normal"/>
    <w:uiPriority w:val="39"/>
    <w:semiHidden/>
    <w:unhideWhenUsed/>
    <w:pPr>
      <w:spacing w:after="100"/>
      <w:ind w:left="1260"/>
    </w:pPr>
  </w:style>
  <w:style w:type="paragraph" w:styleId="TOC8">
    <w:name w:val="toc 8"/>
    <w:basedOn w:val="Normal"/>
    <w:next w:val="Normal"/>
    <w:uiPriority w:val="39"/>
    <w:semiHidden/>
    <w:unhideWhenUsed/>
    <w:pPr>
      <w:spacing w:after="100"/>
      <w:ind w:left="1470"/>
    </w:pPr>
  </w:style>
  <w:style w:type="paragraph" w:styleId="TOC9">
    <w:name w:val="toc 9"/>
    <w:basedOn w:val="Normal"/>
    <w:next w:val="Normal"/>
    <w:uiPriority w:val="39"/>
    <w:semiHidden/>
    <w:unhideWhenUsed/>
    <w:pPr>
      <w:spacing w:after="100"/>
      <w:ind w:left="168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Title">
    <w:name w:val="Title"/>
    <w:basedOn w:val="Normal"/>
    <w:pPr>
      <w:spacing w:after="80"/>
    </w:pPr>
    <w:rPr>
      <w:rFonts w:ascii="Cambria" w:cs="Cambria" w:eastAsia="Cambria" w:hAnsi="Cambria"/>
      <w:b/>
      <w:bCs/>
      <w:color w:val="1F3B4D"/>
      <w:sz w:val="40"/>
      <w:szCs w:val="40"/>
    </w:rPr>
  </w:style>
  <w:style w:type="paragraph" w:styleId="Heading1">
    <w:name w:val="Heading 1"/>
    <w:basedOn w:val="Normal"/>
    <w:next w:val="Normal"/>
    <w:qFormat/>
    <w:pPr>
      <w:keepNext/>
      <w:pBdr>
        <w:bottom w:val="single" w:color="C9D3D8" w:sz="6" w:space="2"/>
      </w:pBdr>
      <w:spacing w:after="120" w:before="280"/>
      <w:outlineLvl w:val="0"/>
    </w:pPr>
    <w:rPr>
      <w:rFonts w:ascii="Cambria" w:cs="Cambria" w:eastAsia="Cambria" w:hAnsi="Cambria"/>
      <w:b/>
      <w:bCs/>
      <w:color w:val="1F3B4D"/>
      <w:sz w:val="28"/>
      <w:szCs w:val="28"/>
    </w:rPr>
  </w:style>
  <w:style w:type="paragraph" w:styleId="Heading2">
    <w:name w:val="Heading 2"/>
    <w:basedOn w:val="Normal"/>
    <w:next w:val="Normal"/>
    <w:qFormat/>
    <w:pPr>
      <w:keepNext/>
      <w:spacing w:after="100" w:before="200"/>
      <w:outlineLvl w:val="1"/>
    </w:pPr>
    <w:rPr>
      <w:rFonts w:ascii="Cambria" w:cs="Cambria" w:eastAsia="Cambria" w:hAnsi="Cambria"/>
      <w:b/>
      <w:bCs/>
      <w:color w:val="1F3B4D"/>
      <w:sz w:val="24"/>
      <w:szCs w:val="24"/>
    </w:rPr>
  </w:style>
  <w:style w:type="paragraph" w:styleId="Heading3">
    <w:name w:val="Heading 3"/>
    <w:basedOn w:val="Normal"/>
    <w:next w:val="Normal"/>
    <w:qFormat/>
    <w:pPr>
      <w:keepNext/>
      <w:spacing w:after="80" w:before="160"/>
      <w:outlineLvl w:val="2"/>
    </w:pPr>
    <w:rPr>
      <w:rFonts w:ascii="Cambria" w:cs="Cambria" w:eastAsia="Cambria" w:hAnsi="Cambria"/>
      <w:b/>
      <w:bCs/>
      <w:color w:val="C8553D"/>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IDB201 Consistency review</dc:title>
  <dc:creator>IDB201 course team</dc:creator>
  <cp:lastModifiedBy>Un-named</cp:lastModifiedBy>
  <cp:revision>1</cp:revision>
  <dcterms:created xsi:type="dcterms:W3CDTF">2026-10-28T01:35:05.106Z</dcterms:created>
  <dcterms:modified xsi:type="dcterms:W3CDTF">2026-10-28T01:35:05.106Z</dcterms:modified>
</cp:coreProperties>
</file>

<file path=docProps/custom.xml><?xml version="1.0" encoding="utf-8"?>
<Properties xmlns="http://schemas.openxmlformats.org/officeDocument/2006/custom-properties" xmlns:vt="http://schemas.openxmlformats.org/officeDocument/2006/docPropsVTypes"/>
</file>