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implement the algorithms in Python, linking to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w:t>
      </w:r>
    </w:p>
    <w:p>
      <w:pPr>
        <w:pStyle w:val="ListParagraph"/>
        <w:numPr>
          <w:ilvl w:val="0"/>
          <w:numId w:val="2"/>
        </w:numPr>
        <w:spacing w:after="60"/>
      </w:pPr>
      <w:r>
        <w:rPr>
          <w:b/>
          <w:bCs/>
          <w:shd w:fill="FFE699" w:color="auto" w:val="clear"/>
        </w:rPr>
        <w:t xml:space="preserve">Research practice</w:t>
      </w:r>
      <w:r>
        <w:t xml:space="preserve">: every chapter has a Research Corner built around a seminal paper, labs include an Investigate part (hypothesis → experiment → evidence), and the course ends with a mini research project written as a short paper.</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and the final exam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Primary literature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At least one seminal paper per chapter</w:t>
            </w:r>
            <w:r>
              <w:rPr>
                <w:sz w:val="18"/>
                <w:szCs w:val="18"/>
              </w:rPr>
              <w:t xml:space="preserve"> (Codd 1970, 1972; Chen 1976; Selinger et al. 1979; Berenson et al. 1995; Kraska et al. 2018; Stonebraker &amp; Pavlo 2024; …)</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10% · Progress tests 20% · Assignment 1 10% · Assignment 2 (research project) 20% · Practical exam 10% · Final exam 30%</w:t>
            </w:r>
          </w:p>
        </w:tc>
      </w:tr>
    </w:tbl>
    <w:p>
      <w:pPr>
        <w:pStyle w:val="Heading1"/>
      </w:pPr>
      <w:r>
        <w:t xml:space="preserve">2. What is core for Computer Science students</w:t>
      </w:r>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r>
        <w:t xml:space="preserve">2.1 Core content for CS (taught in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bags, three-valued logic, translation to algebra</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 with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r>
    </w:tbl>
    <w:p>
      <w:pPr>
        <w:spacing w:after="120"/>
      </w:pPr>
    </w:p>
    <w:p>
      <w:pPr>
        <w:pStyle w:val="Heading2"/>
      </w:pPr>
      <w:r>
        <w:t xml:space="preserve">2.2 Content de-emphasized (application-oriented)</w:t>
      </w:r>
    </w:p>
    <w:p>
      <w:pPr>
        <w:pStyle w:val="ListParagraph"/>
        <w:numPr>
          <w:ilvl w:val="0"/>
          <w:numId w:val="2"/>
        </w:numPr>
        <w:spacing w:after="60"/>
      </w:pPr>
      <w:r>
        <w:t xml:space="preserve">Stored procedures, functions and triggers: moved to an </w:t>
      </w:r>
      <w:r>
        <w:rPr>
          <w:b/>
          <w:bCs/>
        </w:rPr>
        <w:t xml:space="preserve">optional appendix</w:t>
      </w:r>
      <w:r>
        <w:t xml:space="preserve">, not assessed.</w:t>
      </w:r>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r>
        <w:br w:type="page"/>
      </w:r>
    </w:p>
    <w:p>
      <w:pPr>
        <w:pStyle w:val="Heading1"/>
      </w:pPr>
      <w:r>
        <w:t xml:space="preserve">3. Chapter-by-chapter academic highlights</w:t>
      </w:r>
    </w:p>
    <w:p>
      <w:pPr>
        <w:spacing w:after="120"/>
      </w:pPr>
      <w:r>
        <w:t xml:space="preserve">The table lists, for each chapter, the sessions in the 60-session schedule, the </w:t>
      </w:r>
      <w:r>
        <w:rPr>
          <w:b/>
          <w:bCs/>
        </w:rPr>
        <w:t xml:space="preserve">academic emphasis</w:t>
      </w:r>
      <w:r>
        <w:t xml:space="preserve"> added beyond a standard course (amber column), the Research Corner reading, and the main CLO. Sessions 57–59 are for Assignment 2 research presentations and session 60 is the course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Research Corner</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 Introduction to database systems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Stonebraker &amp; Pavlo (2024)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The Entity–Relationship model</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ER</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Chen (1976)</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Relational model and mapping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constraints as first-order logic; inclusion dependencies</w:t>
            </w:r>
            <w:r>
              <w:rPr>
                <w:sz w:val="18"/>
                <w:szCs w:val="18"/>
              </w:rPr>
              <w:t xml:space="preserve">; proof that every relation has a key; Sperner bound on the number of keys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Relational algebra</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Relational calculus (TRC/DRC), safety, Codd's theorem; limits of expressive power (transitive closure)</w:t>
            </w:r>
            <w:r>
              <w:rPr>
                <w:sz w:val="18"/>
                <w:szCs w:val="18"/>
              </w:rPr>
              <w:t xml:space="preserve">; Python algebra evaluator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SQL: data definition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vs. procedural integrity; </w:t>
            </w:r>
            <w:r>
              <w:rPr>
                <w:b/>
                <w:bCs/>
                <w:sz w:val="18"/>
                <w:szCs w:val="18"/>
                <w:shd w:fill="FFE699" w:color="auto" w:val="clear"/>
              </w:rPr>
              <w:t xml:space="preserve">why assertions are hard to check (incremental maintenance)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DSC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 SQL: queries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25–33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bag semantics, three-valued logic, translation to algebra</w:t>
            </w:r>
            <w:r>
              <w:rPr>
                <w:sz w:val="18"/>
                <w:szCs w:val="18"/>
              </w:rPr>
              <w:t xml:space="preserve">; proofs of NULL anomalies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Chamberlin &amp; Boyce (1974); Guagliardo &amp; Libkin (2017)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7. Data modification and views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34–38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View expansion; </w:t>
            </w:r>
            <w:r>
              <w:rPr>
                <w:b/>
                <w:bCs/>
                <w:sz w:val="18"/>
                <w:szCs w:val="18"/>
                <w:shd w:fill="FFE699" w:color="auto" w:val="clear"/>
              </w:rPr>
              <w:t xml:space="preserve">the view-update problem</w:t>
            </w:r>
            <w:r>
              <w:rPr>
                <w:sz w:val="18"/>
                <w:szCs w:val="18"/>
              </w:rPr>
              <w:t xml:space="preserve">; SQL injection explained by the separation of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Bancilhon &amp; Spyratos (1981)</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Functional dependencies and normalization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Proofs: soundness and completeness of Armstrong's axioms, correctness of closure, lossless-join test; complexity (primality is NP-complete); MVDs and 4NF</w:t>
            </w:r>
            <w:r>
              <w:rPr>
                <w:sz w:val="18"/>
                <w:szCs w:val="18"/>
              </w:rPr>
              <w:t xml:space="preserve">; Python FD toolkit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Kent (1983); Armstrong (1974)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Storage, indexing and query processing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and cost formulas; B+-tree height analysis; System R dynamic programming for join order; cardinality estimation; learned indexes</w:t>
            </w:r>
            <w:r>
              <w:rPr>
                <w:sz w:val="18"/>
                <w:szCs w:val="18"/>
              </w:rPr>
              <w:t xml:space="preserve">; controlled experiments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Selinger et al. (1979); Leis et al. (2015); Kraska et al. (2018)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 Transactions and concurrency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and view serializability (NP-completeness); proof that 2PL is correct; recoverability; snapshot isolation and write skew</w:t>
            </w:r>
            <w:r>
              <w:rPr>
                <w:sz w:val="18"/>
                <w:szCs w:val="18"/>
              </w:rPr>
              <w:t xml:space="preserve">; Python serializability tester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Eswaran et al. (1976); Berenson et al. (1995)</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r>
        <w:t xml:space="preserve">3.1 The Research Corner</w:t>
      </w:r>
    </w:p>
    <w:p>
      <w:pPr>
        <w:spacing w:after="120"/>
      </w:pPr>
      <w:r>
        <w:t xml:space="preserve">Every chapter ends with a Research Corner: one seminal paper, read with </w:t>
      </w:r>
      <w:r>
        <w:rPr>
          <w:b/>
          <w:bCs/>
        </w:rPr>
        <w:t xml:space="preserve">guiding questions</w:t>
      </w:r>
      <w:r>
        <w:t xml:space="preserve"> and discussed in class. The purpose is not to master every detail, but to build the habit of going back to primary sources and asking why a technique was invented.</w:t>
      </w:r>
    </w:p>
    <w:p>
      <w:pPr>
        <w:pStyle w:val="Heading2"/>
      </w:pPr>
      <w:r>
        <w:t xml:space="preserve">3.2 Links to other courses in the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Ch. 3, 4, 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implementations of algebra, FD algorithms and serializability tests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(Ch. 9)</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(Ch. 9)</w:t>
            </w:r>
          </w:p>
        </w:tc>
      </w:tr>
    </w:tbl>
    <w:p>
      <w:r>
        <w:br w:type="page"/>
      </w:r>
    </w:p>
    <w:p>
      <w:pPr>
        <w:pStyle w:val="Heading1"/>
      </w:pPr>
      <w:r>
        <w:t xml:space="preserve">4. Course learning outcomes (CLOs)</w:t>
      </w:r>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r>
        <w:t xml:space="preserve">4.1 CLO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2, 3, 5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4, 6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access from Python) and explain query results through SQL semantics (bag semantics, three-valued logic).</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 and implement these algorithms in Python.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8</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9</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paper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Research Corners; Assignments 1–2</w:t>
            </w:r>
          </w:p>
        </w:tc>
      </w:tr>
    </w:tbl>
    <w:p>
      <w:pPr>
        <w:spacing w:after="120"/>
      </w:pPr>
    </w:p>
    <w:p>
      <w:pPr>
        <w:pStyle w:val="Heading2"/>
      </w:pPr>
      <w:r>
        <w:t xml:space="preserve">4.2 How the CLOs were derived</w:t>
      </w:r>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 implementation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r>
        <w:t xml:space="preserve">4.3 Bloom's taxonomy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r>
        <w:t xml:space="preserve">4.4 Alignment with the 9-semester program</w:t>
      </w:r>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r>
        <w:t xml:space="preserve">4.5 Coverage in the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reviewed in 19 and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(and constraints in 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4–13, 23–24; Assignment 1 defense in 38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(and SQL semantics in 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 33; Assignment 1 defense in 38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 46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 Assignment 2 in 58–59</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 Assignment 2 in 58–59</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Corner in every chapter; Assignments 1–2</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38, 51, 57–60, plus the Investigate part of every lab</w:t>
            </w:r>
          </w:p>
        </w:tc>
      </w:tr>
    </w:tbl>
    <w:p>
      <w:pPr>
        <w:spacing w:after="120"/>
      </w:pPr>
    </w:p>
    <w:p>
      <w:pPr>
        <w:pStyle w:val="Heading2"/>
      </w:pPr>
      <w:r>
        <w:t xml:space="preserve">4.6 CLO – assessment matrix</w:t>
      </w:r>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100"/>
        <w:gridCol w:w="1100"/>
        <w:gridCol w:w="1100"/>
        <w:gridCol w:w="1200"/>
        <w:gridCol w:w="1200"/>
        <w:gridCol w:w="1100"/>
        <w:gridCol w:w="12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1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2 20%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PE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30%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r>
        <w:t xml:space="preserve">4.7 CLO – PLO mapping (BCS_AD, 13 PLOs)</w:t>
      </w:r>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r>
        <w:t xml:space="preserve">4.8 Rationale for each link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 practical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Assignment 1,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and of a DBMS; Python access to databases (CLO4) and Python implementations of FD algorithms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4–7, practical exam, unit-tested Python tasks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read recent research such as learned indexes (Kraska et al., 2018).</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8, Assignment 2</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IEEE-style paper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 and presentation; Assignment 1 oral defense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(Assignment 1) and group work with contribution logs and peer evaluation (Assignment 2); self-study of primary literature.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Assignment 2 peer evaluation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reproducibility criterion (20%)</w:t>
            </w:r>
          </w:p>
        </w:tc>
      </w:tr>
    </w:tbl>
    <w:p>
      <w:pPr>
        <w:spacing w:after="120"/>
      </w:pPr>
    </w:p>
    <w:p>
      <w:pPr>
        <w:pStyle w:val="Heading2"/>
      </w:pPr>
      <w:r>
        <w:t xml:space="preserve">4.9 PLOs not mapped, and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English readings,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r>
        <w:t xml:space="preserve">5. Proposed assessment structure</w:t>
      </w:r>
    </w:p>
    <w:p>
      <w:pPr>
        <w:spacing w:after="120"/>
      </w:pPr>
      <w:r>
        <w:t xml:space="preserve">The weights follow the component types of the university template (labs, progress tests, assignments, practical exam, final exam) and keep the completion criteria unchanged. The balance is shifted from the applied practical exam towards research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labs (8)</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exercises, Python implementations with tests, Investigate mini-reports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1–4)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CLO1–CLO3</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5–8)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technical report (4–6 pages) + oral defense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mini research project: short paper (IEEE), reproducible code,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SQL on computer (ch. 5–7)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 (unchanged):</w:t>
      </w:r>
      <w:r>
        <w:t xml:space="preserve"> every on-going component &gt; 0; practical exam &gt; 0; final exam ≥ 4; final result ≥ 5.</w:t>
      </w:r>
    </w:p>
    <w:p>
      <w:pPr>
        <w:pStyle w:val="Heading2"/>
      </w:pPr>
      <w:r>
        <w:t xml:space="preserve">5.1 Rationale</w:t>
      </w:r>
    </w:p>
    <w:p>
      <w:pPr>
        <w:pStyle w:val="ListParagraph"/>
        <w:numPr>
          <w:ilvl w:val="0"/>
          <w:numId w:val="2"/>
        </w:numPr>
        <w:spacing w:after="60"/>
      </w:pPr>
      <w:r>
        <w:rPr>
          <w:b/>
          <w:bCs/>
        </w:rPr>
        <w:t xml:space="preserve">40% research work</w:t>
      </w:r>
      <w:r>
        <w:t xml:space="preserve"> (labs 10%, Assignment 1 10%, Assignment 2 20%) rewards the habits the orientation targets: reading literature, proving, implementing and experimenting.</w:t>
      </w:r>
    </w:p>
    <w:p>
      <w:pPr>
        <w:pStyle w:val="ListParagraph"/>
        <w:numPr>
          <w:ilvl w:val="0"/>
          <w:numId w:val="2"/>
        </w:numPr>
        <w:spacing w:after="60"/>
      </w:pPr>
      <w:r>
        <w:rPr>
          <w:b/>
          <w:bCs/>
        </w:rPr>
        <w:t xml:space="preserve">60% individual mastery</w:t>
      </w:r>
      <w:r>
        <w:t xml:space="preserve"> (progress tests 20%, practical exam 10%, final exam 30%) keeps the individual guarantee of competence that the university requires.</w:t>
      </w:r>
    </w:p>
    <w:p>
      <w:pPr>
        <w:pStyle w:val="ListParagraph"/>
        <w:numPr>
          <w:ilvl w:val="0"/>
          <w:numId w:val="2"/>
        </w:numPr>
        <w:spacing w:after="60"/>
      </w:pPr>
      <w:r>
        <w:t xml:space="preserve">The practical exam is reduced from 30% to 10% but </w:t>
      </w:r>
      <w:r>
        <w:rPr>
          <w:b/>
          <w:bCs/>
        </w:rPr>
        <w:t xml:space="preserve">not removed</w:t>
      </w:r>
      <w:r>
        <w:t xml:space="preserve">: later courses (DSI201, DAM311) need SQL fluency, and the labs already practise it every week.</w:t>
      </w:r>
    </w:p>
    <w:p>
      <w:pPr>
        <w:pStyle w:val="ListParagraph"/>
        <w:numPr>
          <w:ilvl w:val="0"/>
          <w:numId w:val="2"/>
        </w:numPr>
        <w:spacing w:after="60"/>
      </w:pPr>
      <w:r>
        <w:t xml:space="preserve">Written reasoning items in the progress tests and analysis-level final-exam items ensure that the theory is assessed, not only recalled.</w:t>
      </w:r>
    </w:p>
    <w:p>
      <w:r>
        <w:br w:type="page"/>
      </w:r>
    </w:p>
    <w:p>
      <w:pPr>
        <w:pStyle w:val="Heading1"/>
      </w:pPr>
      <w:r>
        <w:t xml:space="preserve">6. Research-oriented learning activities</w:t>
      </w:r>
    </w:p>
    <w:p>
      <w:pPr>
        <w:pStyle w:val="Heading2"/>
      </w:pPr>
      <w:r>
        <w:t xml:space="preserve">6.1 Labs with an Investigate part</w:t>
      </w:r>
    </w:p>
    <w:p>
      <w:pPr>
        <w:spacing w:after="120"/>
      </w:pPr>
      <w:r>
        <w:t xml:space="preserve">Each of the 8 labs ends with an </w:t>
      </w:r>
      <w:r>
        <w:rPr>
          <w:b/>
          <w:bCs/>
        </w:rPr>
        <w:t xml:space="preserve">Investigate</w:t>
      </w:r>
      <w:r>
        <w:t xml:space="preserve"> part in which students form a hypothesis, run an experiment and report the evidence. The Investigate part counts for at least 40% of each lab mark.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Relational algebra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a mini relational-algebra evaluator in Python; test algebraic equivalences on generated data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SQL queries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7 – Normalization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closure, candidate keys, minimal cover, BCNF decomposition and the chase test; measure how the number of keys grows with the number of attributes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8 – Indexing and transactions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Measure logical reads with and without indexes on a 500,000-row table; reproduce dirty reads, phantoms and deadlocks; implement a precedence-graph serializability tester</w:t>
            </w:r>
          </w:p>
        </w:tc>
      </w:tr>
    </w:tbl>
    <w:p>
      <w:pPr>
        <w:spacing w:after="120"/>
      </w:pPr>
    </w:p>
    <w:p>
      <w:pPr>
        <w:pStyle w:val="Heading2"/>
      </w:pPr>
      <w:r>
        <w:t xml:space="preserve">6.2 Assignment 1 – Design and theory technical report (individual)</w:t>
      </w:r>
    </w:p>
    <w:p>
      <w:pPr>
        <w:pStyle w:val="ListParagraph"/>
        <w:numPr>
          <w:ilvl w:val="0"/>
          <w:numId w:val="2"/>
        </w:numPr>
        <w:spacing w:after="60"/>
      </w:pPr>
      <w:r>
        <w:t xml:space="preserve">An ER model with justified design alternatives and a formal relational schema, with constraints written as logic.</w:t>
      </w:r>
    </w:p>
    <w:p>
      <w:pPr>
        <w:pStyle w:val="ListParagraph"/>
        <w:numPr>
          <w:ilvl w:val="0"/>
          <w:numId w:val="2"/>
        </w:numPr>
        <w:spacing w:after="60"/>
      </w:pPr>
      <w:r>
        <w:t xml:space="preserve">Queries in algebra, calculus and SQL, each with an argument for its correctness.</w:t>
      </w:r>
    </w:p>
    <w:p>
      <w:pPr>
        <w:pStyle w:val="ListParagraph"/>
        <w:numPr>
          <w:ilvl w:val="0"/>
          <w:numId w:val="2"/>
        </w:numPr>
        <w:spacing w:after="60"/>
      </w:pPr>
      <w:r>
        <w:t xml:space="preserve">One guided experiment (the design is given; the student runs it and interprets the results).</w:t>
      </w:r>
    </w:p>
    <w:p>
      <w:pPr>
        <w:pStyle w:val="ListParagraph"/>
        <w:numPr>
          <w:ilvl w:val="0"/>
          <w:numId w:val="2"/>
        </w:numPr>
        <w:spacing w:after="60"/>
      </w:pPr>
      <w:r>
        <w:t xml:space="preserve">A 4–6 page report followed by a 5-minute oral defense.</w:t>
      </w:r>
    </w:p>
    <w:p>
      <w:pPr>
        <w:pStyle w:val="Heading2"/>
      </w:pPr>
      <w:r>
        <w:t xml:space="preserve">6.3 Assignment 2 – Mini research project (groups of 2–3)</w:t>
      </w:r>
    </w:p>
    <w:p>
      <w:pPr>
        <w:spacing w:after="120"/>
      </w:pPr>
      <w:r>
        <w:t xml:space="preserve">Students choose one of three research types and write a </w:t>
      </w:r>
      <w:r>
        <w:rPr>
          <w:b/>
          <w:bCs/>
        </w:rPr>
        <w:t xml:space="preserve">short paper in IEEE format</w:t>
      </w:r>
      <w:r>
        <w:t xml:space="preserve">, with reproducible code and a 15-minute presentation:</w:t>
      </w:r>
    </w:p>
    <w:p>
      <w:pPr>
        <w:pStyle w:val="ListParagraph"/>
        <w:numPr>
          <w:ilvl w:val="0"/>
          <w:numId w:val="3"/>
        </w:numPr>
        <w:spacing w:after="60"/>
      </w:pPr>
      <w:r>
        <w:rPr>
          <w:b/>
          <w:bCs/>
        </w:rPr>
        <w:t xml:space="preserve">Empirical study</w:t>
      </w:r>
      <w:r>
        <w:t xml:space="preserve">, e.g. "When does a non-clustered index stop paying off as selectivity grows?" or "How much does the isolation level cost in throughput?"</w:t>
      </w:r>
    </w:p>
    <w:p>
      <w:pPr>
        <w:pStyle w:val="ListParagraph"/>
        <w:numPr>
          <w:ilvl w:val="0"/>
          <w:numId w:val="3"/>
        </w:numPr>
        <w:spacing w:after="60"/>
      </w:pPr>
      <w:r>
        <w:rPr>
          <w:b/>
          <w:bCs/>
        </w:rPr>
        <w:t xml:space="preserve">Algorithm implementation and evaluation</w:t>
      </w:r>
      <w:r>
        <w:t xml:space="preserve">, e.g. FD discovery on real datasets, or comparing BCNF decomposition strategies.</w:t>
      </w:r>
    </w:p>
    <w:p>
      <w:pPr>
        <w:pStyle w:val="ListParagraph"/>
        <w:numPr>
          <w:ilvl w:val="0"/>
          <w:numId w:val="3"/>
        </w:numPr>
        <w:spacing w:after="60"/>
      </w:pPr>
      <w:r>
        <w:rPr>
          <w:b/>
          <w:bCs/>
        </w:rPr>
        <w:t xml:space="preserve">Reproduction</w:t>
      </w:r>
      <w:r>
        <w:t xml:space="preserve"> of a result from a Research Corner paper at small scale, e.g. a simple learned index versus a B+-tree.</w:t>
      </w:r>
    </w:p>
    <w:p>
      <w:pPr>
        <w:spacing w:after="120"/>
      </w:pPr>
      <w:r>
        <w:t xml:space="preserve">Grading: paper 50% (question, method, results, discussion, related work), reproducibility 20%, presentation and Q&amp;A 20%, peer evaluation 10%.</w:t>
      </w:r>
    </w:p>
    <w:p>
      <w:pPr>
        <w:pStyle w:val="Heading2"/>
      </w:pPr>
      <w:r>
        <w:t xml:space="preserve">6.4 Constructivist questions</w:t>
      </w:r>
    </w:p>
    <w:p>
      <w:pPr>
        <w:spacing w:after="120"/>
      </w:pPr>
      <w:r>
        <w:t xml:space="preserve">The syllabus lists </w:t>
      </w:r>
      <w:r>
        <w:rPr>
          <w:b/>
          <w:bCs/>
        </w:rPr>
        <w:t xml:space="preserve">33 constructivist questions</w:t>
      </w:r>
      <w:r>
        <w:t xml:space="preserve">, three for each of 11 key sessions. They are open *why* and *what if* questions, for example:</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"Snapshot isolation prevents dirty reads, non-repeatable reads and phantoms. Why is it still not serializable?"</w:t>
      </w:r>
    </w:p>
    <w:p>
      <w:pPr>
        <w:pStyle w:val="Heading1"/>
      </w:pPr>
      <w:r>
        <w:t xml:space="preserve">7. Alignment with the official course description</w:t>
      </w:r>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8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5–7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r>
        <w:t xml:space="preserve">8. Feasibility for first-semester students</w:t>
      </w:r>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Python</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tasks use only core features (lists, sets, dictionaries, functions) covered early in PFP191; starter code and unit tests are provided.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papers are difficult</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Papers are read with guiding questions and discussed in class; only selected sections are required.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gives the experimental design; only Assignment 2 asks students to design their own study.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5 labs and still assessed by the practical exam and Progress test 2.</w:t>
            </w:r>
          </w:p>
        </w:tc>
      </w:tr>
    </w:tbl>
    <w:p>
      <w:pPr>
        <w:pStyle w:val="Heading1"/>
      </w:pPr>
      <w:r>
        <w:t xml:space="preserve">9. Anticipated questions from the council</w:t>
      </w:r>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reduce the practical exam from 30% to 10%?</w:t>
      </w:r>
    </w:p>
    <w:p>
      <w:pPr>
        <w:spacing w:after="120"/>
      </w:pPr>
      <w:r>
        <w:t xml:space="preserve">A: Practical SQL skill is still trained in 5 labs and assessed in labs, Progress test 2 and the practical exam. The freed weight rewards research work, which is the explicit goal of the honors track.</w:t>
      </w:r>
    </w:p>
    <w:p>
      <w:pPr>
        <w:spacing w:after="60" w:before="120"/>
      </w:pPr>
      <w:r>
        <w:rPr>
          <w:b/>
          <w:bCs/>
          <w:color w:val="1F4E79"/>
        </w:rPr>
        <w:t xml:space="preserve">Q: Why are stored procedures and triggers optional?</w:t>
      </w:r>
    </w:p>
    <w:p>
      <w:pPr>
        <w:spacing w:after="120"/>
      </w:pPr>
      <w:r>
        <w:t xml:space="preserve">A: They are not in the official course description and are application-oriented. They remain available as an appendix for the project.</w:t>
      </w:r>
    </w:p>
    <w:p>
      <w:pPr>
        <w:spacing w:after="60" w:before="120"/>
      </w:pPr>
      <w:r>
        <w:rPr>
          <w:b/>
          <w:bCs/>
          <w:color w:val="1F4E79"/>
        </w:rPr>
        <w:t xml:space="preserve">Q: How is research work graded fairly?</w:t>
      </w:r>
    </w:p>
    <w:p>
      <w:pPr>
        <w:spacing w:after="120"/>
      </w:pPr>
      <w:r>
        <w:t xml:space="preserve">A: With published rubrics; Assignment 2 combines the paper,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Assignment 1 gives the experimental design, and only Assignment 2 asks students to design their own study.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Assignment 1 and Progress test 1.</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Are the readings accessible?</w:t>
      </w:r>
    </w:p>
    <w:p>
      <w:pPr>
        <w:spacing w:after="120"/>
      </w:pPr>
      <w:r>
        <w:t xml:space="preserve">A: The two textbooks are standard; the papers are classic, short and widely available through ACM and the university library.</w:t>
      </w:r>
    </w:p>
    <w:p>
      <w:pPr>
        <w:pStyle w:val="Heading1"/>
      </w:pPr>
      <w:r>
        <w:t xml:space="preserve">10. Items requiring a decision</w:t>
      </w:r>
    </w:p>
    <w:p>
      <w:pPr>
        <w:pStyle w:val="ListParagraph"/>
        <w:numPr>
          <w:ilvl w:val="0"/>
          <w:numId w:val="3"/>
        </w:numPr>
        <w:spacing w:after="60"/>
      </w:pPr>
      <w:r>
        <w:rPr>
          <w:b/>
          <w:bCs/>
        </w:rPr>
        <w:t xml:space="preserve">Decision number and approval date</w:t>
      </w:r>
      <w:r>
        <w:t xml:space="preserve"> of the syllabus.</w:t>
      </w:r>
    </w:p>
    <w:p>
      <w:pPr>
        <w:pStyle w:val="ListParagraph"/>
        <w:numPr>
          <w:ilvl w:val="0"/>
          <w:numId w:val="3"/>
        </w:numPr>
        <w:spacing w:after="60"/>
      </w:pPr>
      <w:r>
        <w:rPr>
          <w:b/>
          <w:bCs/>
        </w:rPr>
        <w:t xml:space="preserve">Assessment weights:</w:t>
      </w:r>
      <w:r>
        <w:t xml:space="preserve"> approval of the proposed shift (practical exam 30% → 10%; research labs 10%; Assignment 2 20%)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2026-09-24T04:06:57.644Z</dcterms:created>
  <dcterms:modified xsi:type="dcterms:W3CDTF">2026-09-24T04:06:57.644Z</dcterms:modified>
</cp:coreProperties>
</file>

<file path=docProps/custom.xml><?xml version="1.0" encoding="utf-8"?>
<Properties xmlns="http://schemas.openxmlformats.org/officeDocument/2006/custom-properties" xmlns:vt="http://schemas.openxmlformats.org/officeDocument/2006/docPropsVTypes"/>
</file>