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every chapter has a Research Corner built around a seminal paper,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Primary literature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At least one seminal paper per chapter</w:t>
            </w:r>
            <w:r>
              <w:rPr>
                <w:sz w:val="18"/>
                <w:szCs w:val="18"/>
              </w:rPr>
              <w:t xml:space="preserve"> (Codd 1970, 1972; Chen 1976; Selinger et al. 1979; Berenson et al. 1995; Kraska et al. 2018; Stonebraker &amp; Pavlo 2024; …)</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(DSC §5.2–5.3): </w:t>
      </w:r>
      <w:r>
        <w:rPr>
          <w:b/>
          <w:bCs/>
        </w:rPr>
        <w:t xml:space="preserve">optional reading</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Research Corner reading, and the main CLO. The course follows the chapter order of *Database System Concepts* (7th ed.), and every session in the syllabus cites the exact sections and pages. Sessions 55–57 are for Assignment 2, and sessions 58–60 are for review and practical-exam preparation.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Research Corner</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 Introduction (DSC 1)</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Stonebraker &amp; Pavlo (2024)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Relational model and relational algebra (DSC 2; online Ch. 27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keys and constraints as logic; relational algebra with proofs; relational calculus and Codd's theorem (guided self-study)</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Introduction to SQL (DSC 3)</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equivalent formulations of one query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Chamberlin &amp; Boyce (1974)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Intermediate and advanced SQL (DSC 4, §5.1, §5.4)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15–20</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integrity; </w:t>
            </w:r>
            <w:r>
              <w:rPr>
                <w:b/>
                <w:bCs/>
                <w:sz w:val="18"/>
                <w:szCs w:val="18"/>
                <w:shd w:fill="FFE699" w:color="auto" w:val="clear"/>
              </w:rPr>
              <w:t xml:space="preserve">recursive queries and the limits of relational algebra (transitive closure)</w:t>
            </w:r>
            <w:r>
              <w:rPr>
                <w:sz w:val="18"/>
                <w:szCs w:val="18"/>
              </w:rPr>
              <w:t xml:space="preserve">; SQL injection explained by separating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Database design with the E-R model (DSC 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21–25</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the E-R model</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Chen (1976)</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Relational database design (DSC 7)</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Functional-dependency theory with proofs (Armstrong's axioms, closure, canonical cover, lossless join); decomposition algorithms;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Kent (1983)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Storage and indexing (DSC 12–14)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35–40</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B+-tree height analysis; cost of index lookups versus scans; learned indexes</w:t>
            </w:r>
            <w:r>
              <w:rPr>
                <w:sz w:val="18"/>
                <w:szCs w:val="18"/>
              </w:rPr>
              <w:t xml:space="preserve">; controlled experiments on a large table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Bayer &amp; McCreight (1972); Kraska et al. (2018)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Query processing and optimization (DSC 15–16)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Cost of sorting and join algorithms; equivalence rules; dynamic programming for join order</w:t>
            </w:r>
            <w:r>
              <w:rPr>
                <w:sz w:val="18"/>
                <w:szCs w:val="18"/>
              </w:rPr>
              <w:t xml:space="preserve">; reading execution plans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Selinger et al. (1979)</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Transactions and concurrency control (DSC 17–18)</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serializability and precedence graphs;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Berenson et al. (1995)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Recovery system (DSC 19, mainly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Write-ahead logging and the recovery algorithm: </w:t>
            </w:r>
            <w:r>
              <w:rPr>
                <w:b/>
                <w:bCs/>
                <w:sz w:val="18"/>
                <w:szCs w:val="18"/>
                <w:shd w:fill="FFE699" w:color="auto" w:val="clear"/>
              </w:rPr>
              <w:t xml:space="preserve">one overview session, the rest guided self-study</w:t>
            </w:r>
            <w:r>
              <w:rPr>
                <w:sz w:val="18"/>
                <w:szCs w:val="18"/>
              </w:rPr>
              <w:t xml:space="preserve"> because recovery is abstract and hard to reproduce in a lab</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r>
        <w:t xml:space="preserve">3.1 The Research Corner</w:t>
      </w:r>
    </w:p>
    <w:p>
      <w:pPr>
        <w:spacing w:after="120"/>
      </w:pPr>
      <w:r>
        <w:t xml:space="preserve">Every chapter ends with a Research Corner: one seminal paper, read with </w:t>
      </w:r>
      <w:r>
        <w:rPr>
          <w:b/>
          <w:bCs/>
        </w:rPr>
        <w:t xml:space="preserve">guiding questions</w:t>
      </w:r>
      <w:r>
        <w:t xml:space="preserve"> and discussed in class. The purpose is not to master every detail, but to build the habit of going back to primary sources and asking why a technique was invented.</w:t>
      </w:r>
    </w:p>
    <w:p>
      <w:pPr>
        <w:pStyle w:val="Heading2"/>
      </w:pPr>
      <w:r>
        <w:t xml:space="preserve">3.2 In class versus guided self-study</w:t>
      </w:r>
    </w:p>
    <w:p>
      <w:pPr>
        <w:spacing w:after="120"/>
      </w:pPr>
      <w:r>
        <w:t xml:space="preserve">Sections that are </w:t>
      </w:r>
      <w:r>
        <w:rPr>
          <w:b/>
          <w:bCs/>
        </w:rPr>
        <w:t xml:space="preserve">abstract and hard to explore through experiments</w:t>
      </w:r>
      <w:r>
        <w:t xml:space="preserve"> are assigned as guided self-study. Students read them with a worksheet or exercises, and they are assessed in the progress tests and the final exam (about 20% of the final-exam items). Class time goes to topics that benefit from discussion, proof and experiment.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026"/>
        <w:gridCol w:w="3900"/>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Guided self-study (DSC)</w:t>
            </w:r>
          </w:p>
        </w:tc>
        <w:tc>
          <w:tcPr>
            <w:tcW w:type="dxa" w:w="3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Online Ch. 27: tuple and domain relational calculus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Purely formal; learned best by working through a worksheet, reviewed in session 8</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 Authorization; §5.5 Advanced aggregation; §9.8 Application security</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Descriptive or syntax-oriented</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C5–C6</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§6.8, §6.10–6.11; §7.7, §7.9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Extensions and notations; more normal 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C7–C8</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§12.1, §12.6, §13.4, §14.4; §15.6–15.7; §16.3</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Hardware background (with ICS102); statistics estimation is abstract and hard to observe directly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§18.3, §18.5, §18.7, §18.9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Alternative protocols, compared with 2PL taught in class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 19 except the overview (§19.2, §19.4–19.6)</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Recovery algorithms are abstract and cannot be reproduced safely in a student lab</w:t>
            </w:r>
          </w:p>
        </w:tc>
      </w:tr>
    </w:tbl>
    <w:p>
      <w:pPr>
        <w:spacing w:after="120"/>
      </w:pPr>
    </w:p>
    <w:p>
      <w:pPr>
        <w:pStyle w:val="Heading2"/>
      </w:pPr>
      <w:r>
        <w:t xml:space="preserve">3.3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C2, C6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(C7)</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(C7, C8)</w:t>
            </w:r>
          </w:p>
        </w:tc>
      </w:tr>
    </w:tbl>
    <w:p>
      <w:r>
        <w:br w:type="page"/>
      </w:r>
    </w:p>
    <w:p>
      <w:pPr>
        <w:pStyle w:val="Heading1"/>
      </w:pPr>
      <w:r>
        <w:t xml:space="preserve">4. Course learning outcomes (CLOs)</w:t>
      </w:r>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r>
        <w:t xml:space="preserve">4.1 CLO statements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C4, C5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C3, C4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access from Python) and explain query results through SQL semantics (bag semantics, three-valued logic).</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 and implement these algorithms in Python.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C6</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C7, C8</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C9, C10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paper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Research Corners; Assignments 1–2</w:t>
            </w:r>
          </w:p>
        </w:tc>
      </w:tr>
    </w:tbl>
    <w:p>
      <w:pPr>
        <w:spacing w:after="120"/>
      </w:pPr>
    </w:p>
    <w:p>
      <w:pPr>
        <w:pStyle w:val="Heading2"/>
      </w:pPr>
      <w:r>
        <w:t xml:space="preserve">4.2 How the CLOs were derived</w:t>
      </w:r>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 implementation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r>
        <w:t xml:space="preserve">4.3 Bloom's taxonomy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r>
        <w:t xml:space="preserve">4.4 Alignment with the 9-semester program</w:t>
      </w:r>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r>
        <w:t xml:space="preserve">4.5 Coverage in the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Progress test 1 in 20; review in 58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 C5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16, 19, 21–25; Assignment 1 defense in 33; Progress test 2 in 34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 12, 14, 17; Assignment 1 defense in 33</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9–19; practical-exam preparation in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26–32; Progress test 2 in 34;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C8</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35–46;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47–54; Assignment 2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Corners; Assignments 1–2</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33, 40, 46, 55–57, plus the Investigate part of every lab</w:t>
            </w:r>
          </w:p>
        </w:tc>
      </w:tr>
    </w:tbl>
    <w:p>
      <w:pPr>
        <w:spacing w:after="120"/>
      </w:pPr>
    </w:p>
    <w:p>
      <w:pPr>
        <w:pStyle w:val="Heading2"/>
      </w:pPr>
      <w:r>
        <w:t xml:space="preserve">4.6 CLO – assessment matrix</w:t>
      </w:r>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100"/>
        <w:gridCol w:w="1100"/>
        <w:gridCol w:w="1100"/>
        <w:gridCol w:w="1200"/>
        <w:gridCol w:w="1200"/>
        <w:gridCol w:w="1100"/>
        <w:gridCol w:w="12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10%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1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Asm 2 20%</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PE 10%</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30%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r>
        <w:t xml:space="preserve">4.7 CLO – PLO mapping (BCS_AD, 13 PLOs)</w:t>
      </w:r>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r>
        <w:t xml:space="preserve">4.8 Rationale for each link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 practical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Assignment 1,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and of a DBMS; Python access to databases (CLO4) and Python implementations of FD algorithms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3, 4 and 6, practical exam, unit-tested Python tasks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read recent research such as learned indexes (Kraska et al., 2018).</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7–8, Assignment 2</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IEEE-style paper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paper and presentation; Assignment 1 oral defense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(Assignment 1) and group work with contribution logs and peer evaluation (Assignment 2); self-study of primary literature.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Assignment 2 peer evaluation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 reproducibility criterion (20%)</w:t>
            </w:r>
          </w:p>
        </w:tc>
      </w:tr>
    </w:tbl>
    <w:p>
      <w:pPr>
        <w:spacing w:after="120"/>
      </w:pPr>
    </w:p>
    <w:p>
      <w:pPr>
        <w:pStyle w:val="Heading2"/>
      </w:pPr>
      <w:r>
        <w:t xml:space="preserve">4.9 PLOs not mapped, and why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English readings,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labs (9)</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exercises, Python implementations with tests, Investigate mini-reports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5–6)</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(Chapters 3–5)</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10%, Assignment 1 10%, Assignment 2 20%) rewards the habits the orientation targets: reading literature,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9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2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6 – Relational database design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canonical cover, BCNF decomposition and the lossless-join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Indexing</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find the selectivity at which an index stops paying off</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9 – Concurrency</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Reproduce dirty reads, phantoms and deadlocks with two sessions;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of a result from a Research Corner paper at small scale,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30 constructivist questions</w:t>
      </w:r>
      <w:r>
        <w:t xml:space="preserve">, three for each of 10 key sessions, one per chapter. They are open *why* and *what if* questions, for example:</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(DSC 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21–25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2.5–2.6)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(DSC 3, 4, §5.1, §5.4)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9–19</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(DSC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26–32</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(DSC 13–14)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35–40</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(DSC 15–16)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C10 (DSC 17–19)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C6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C7–C10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papers are difficult</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Papers are read with guiding questions and discussed in class; only selected sections are required.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Assignment 1 gives the experimental design, and only Assignment 2 asks students to design their own study.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Assignment 1 and Progress test 1.</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Are the readings accessible?</w:t>
      </w:r>
    </w:p>
    <w:p>
      <w:pPr>
        <w:spacing w:after="120"/>
      </w:pPr>
      <w:r>
        <w:t xml:space="preserve">A: The two textbooks are standard; the papers are classic, short and widely available through ACM and the university library.</w:t>
      </w:r>
    </w:p>
    <w:p>
      <w:pPr>
        <w:pStyle w:val="Heading1"/>
      </w:pPr>
      <w:r>
        <w:t xml:space="preserve">10. Items requiring a decision</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2026-09-27T03:33:45.915Z</dcterms:created>
  <dcterms:modified xsi:type="dcterms:W3CDTF">2026-09-27T03:33:45.926Z</dcterms:modified>
</cp:coreProperties>
</file>

<file path=docProps/custom.xml><?xml version="1.0" encoding="utf-8"?>
<Properties xmlns="http://schemas.openxmlformats.org/officeDocument/2006/custom-properties" xmlns:vt="http://schemas.openxmlformats.org/officeDocument/2006/docPropsVTypes"/>
</file>