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mbria" w:cs="Cambria" w:eastAsia="Cambria" w:hAnsi="Cambria"/>
          <w:color w:val="5B6770"/>
          <w:sz w:val="22"/>
          <w:szCs w:val="22"/>
        </w:rPr>
        <w:t xml:space="preserve">IDB201 – Introduction to Databases</w:t>
      </w:r>
    </w:p>
    <w:p>
      <w:pPr>
        <w:pStyle w:val="Title"/>
      </w:pPr>
      <w:r>
        <w:t xml:space="preserve">Group project: design a database and study it experimentally</w:t>
      </w:r>
    </w:p>
    <w:p>
      <w:pPr>
        <w:spacing w:after="160"/>
      </w:pPr>
      <w:r>
        <w:rPr>
          <w:rFonts w:ascii="Cambria" w:cs="Cambria" w:eastAsia="Cambria" w:hAnsi="Cambria"/>
          <w:i/>
          <w:iCs/>
          <w:color w:val="1F3B4D"/>
          <w:sz w:val="26"/>
          <w:szCs w:val="26"/>
        </w:rPr>
        <w:t xml:space="preserve">Assignment brief, rubric and deliverables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cantSplit/>
        </w:trPr>
        <w:tc>
          <w:tcPr>
            <w:tcW w:type="dxa" w:w="240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Teams</w:t>
            </w:r>
          </w:p>
        </w:tc>
        <w:tc>
          <w:tcPr>
            <w:tcW w:type="dxa" w:w="722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3–4 students; teams and application domains are approved in session 7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Marks</w:t>
            </w:r>
          </w:p>
        </w:tc>
        <w:tc>
          <w:tcPr>
            <w:tcW w:type="dxa" w:w="722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10 points; the project counts for 30% of the course grade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CLOs</w:t>
            </w:r>
          </w:p>
        </w:tc>
        <w:tc>
          <w:tcPr>
            <w:tcW w:type="dxa" w:w="722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CLO2, CLO4, CLO5, CLO6, CLO7, CLO8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Timeline</w:t>
            </w:r>
          </w:p>
        </w:tc>
        <w:tc>
          <w:tcPr>
            <w:tcW w:type="dxa" w:w="722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Introduced in session 7 · Milestone 1 (design review) in session 39 · Milestone 2 (progress meeting) in session 52 · Final presentations in sessions 56–57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722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Organized by the Department. A panel of two lecturers (the course instructor and one external lecturer) grades the presentations and reports independently.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Textbook</w:t>
            </w:r>
          </w:p>
        </w:tc>
        <w:tc>
          <w:tcPr>
            <w:tcW w:type="dxa" w:w="722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DSC Ch. 2–7 (design and SQL), Ch. 13–19 (storage, indexing, query processing, transactions), as needed by the research question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 a relational database for a domain chosen by the team, from requirements to an E-R model and a normalized schema with integrity constraints.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the database in SQL Server with SQL queries and T-SQL procedures and triggers for the business rules of the domain.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Formulate a research question about the database, position it against related work, and answer it with a controlled, reproducible experiment.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 the study in an academic report and defend it in a presentation.</w:t>
      </w:r>
    </w:p>
    <w:p>
      <w:pPr>
        <w:pStyle w:val="Heading1"/>
      </w:pPr>
      <w:r>
        <w:t xml:space="preserve">2. Learning outcomes</w:t>
      </w:r>
    </w:p>
    <w:p>
      <w:pPr>
        <w:spacing w:after="100"/>
      </w:pPr>
      <w:r>
        <w:t xml:space="preserve">After the project, each team member should be able to: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justify design decisions (entity sets versus attributes, relationship cardinalities, reduction choices) and show that the schema is in BCNF or 3NF with lossless-join and dependency-preservation arguments (CLO2, CLO5);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SQL and T-SQL for the domain and argue why each query returns the intended result, including in the presence of nulls and duplicates (CLO4);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 an experiment on physical design, query execution or concurrency, and interpret the measurements with the cost models and theory of the course (CLO6, CLO7);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and summarize related work, write a structured report, and make the study reproducible (CLO8).</w:t>
      </w:r>
    </w:p>
    <w:p>
      <w:pPr>
        <w:pStyle w:val="Heading1"/>
      </w:pPr>
      <w:r>
        <w:t xml:space="preserve">3. Requirements</w:t>
      </w:r>
    </w:p>
    <w:p>
      <w:pPr>
        <w:pStyle w:val="Heading2"/>
      </w:pPr>
      <w:r>
        <w:t xml:space="preserve">3.1 Part 1 – the database (assessed mainly at milestone 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Domain and requirements.</w:t>
      </w:r>
      <w:r>
        <w:t xml:space="preserve"> A domain with at least 6 entity sets and at least one relationship set that is not binary or one weak entity set (for example: a clinic, a sports league, a public library network, a freight company). Write the requirements as numbered statements.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E-R model.</w:t>
      </w:r>
      <w:r>
        <w:t xml:space="preserve"> A diagram in the notation of DSC Chapter 6, with keys, cardinalities, participation and at least one design alternative that the team considered and rejected, with the reason.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Relational schema.</w:t>
      </w:r>
      <w:r>
        <w:t xml:space="preserve"> The reduction of the E-R model (DSC §6.7); the functional dependencies of every relation; a proof, using attribute closure, that every relation is in BCNF, or in 3NF with the reason why BCNF was not chosen (DSC §7.3–7.5).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Implementation.</w:t>
      </w:r>
      <w:r>
        <w:t xml:space="preserve"> SQL Server DDL with primary keys, foreign keys, unique, not-null and check constraints; sample data large enough for the experiments (generated by a script); at least 8 SQL queries that answer realistic questions, including joins, aggregation and nested subqueries, each with a one-paragraph correctness argument; at least 2 stored procedures and 2 triggers that enforce business rules of the domain.</w:t>
      </w:r>
    </w:p>
    <w:p>
      <w:pPr>
        <w:pStyle w:val="Heading2"/>
      </w:pPr>
      <w:r>
        <w:t xml:space="preserve">3.2 Part 2 – the research study (assessed in the report and presentation)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Research question.</w:t>
      </w:r>
      <w:r>
        <w:t xml:space="preserve"> One precise question about the team's database that can be answered by an experiment, stated with a hypothesis. The question must belong to one of the tracks in §3.3 or be approved by the instructor.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Related work.</w:t>
      </w:r>
      <w:r>
        <w:t xml:space="preserve"> At least 4 sources, including at least 2 primary sources (research papers or official documentation), each summarized in 2–3 sentences and related to the question.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Method.</w:t>
      </w:r>
      <w:r>
        <w:t xml:space="preserve"> The workload, the data sizes, the variables changed and measured, the number of repetitions, and the environment (SQL Server version, machine).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Results and discussion.</w:t>
      </w:r>
      <w:r>
        <w:t xml:space="preserve"> Tables or plots of the measurements; an explanation with the theory of the course (cost model, optimizer, locking, logging); threats to validity.</w:t>
      </w:r>
    </w:p>
    <w:p>
      <w:pPr>
        <w:pStyle w:val="Heading2"/>
      </w:pPr>
      <w:r>
        <w:t xml:space="preserve">3.3 Research tracks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4"/>
        <w:gridCol w:w="4819"/>
        <w:gridCol w:w="2515"/>
      </w:tblGrid>
      <w:tr>
        <w:trPr>
          <w:tblHeader/>
        </w:trPr>
        <w:tc>
          <w:tcPr>
            <w:tcW w:type="dxa" w:w="23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F3B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Track</w:t>
            </w:r>
          </w:p>
        </w:tc>
        <w:tc>
          <w:tcPr>
            <w:tcW w:type="dxa" w:w="481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F3B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Example question</w:t>
            </w:r>
          </w:p>
        </w:tc>
        <w:tc>
          <w:tcPr>
            <w:tcW w:type="dxa" w:w="251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F3B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Course link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Constraints versus triggers</w:t>
            </w:r>
          </w:p>
        </w:tc>
        <w:tc>
          <w:tcPr>
            <w:tcW w:type="dxa" w:w="481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Does enforcing a business rule with a trigger cost more per insert than a declarative constraint, and does the gap grow with table size?</w:t>
            </w:r>
          </w:p>
        </w:tc>
        <w:tc>
          <w:tcPr>
            <w:tcW w:type="dxa" w:w="251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DSC §4.4, §5.3; Lab 3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Cursors versus set-based SQL</w:t>
            </w:r>
          </w:p>
        </w:tc>
        <w:tc>
          <w:tcPr>
            <w:tcW w:type="dxa" w:w="481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For a nightly recomputation in the domain, how do a cursor and a set-based statement scale with the number of rows?</w:t>
            </w:r>
          </w:p>
        </w:tc>
        <w:tc>
          <w:tcPr>
            <w:tcW w:type="dxa" w:w="251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DSC §5.2; Lab 3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Indexes and query plans</w:t>
            </w:r>
          </w:p>
        </w:tc>
        <w:tc>
          <w:tcPr>
            <w:tcW w:type="dxa" w:w="481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Which composite index (column order, included columns) minimizes the logical reads of the team's three most frequent queries, and at what cost to inserts?</w:t>
            </w:r>
          </w:p>
        </w:tc>
        <w:tc>
          <w:tcPr>
            <w:tcW w:type="dxa" w:w="251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DSC Ch. 14–16; Lab 5 part 1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Equivalent formulations</w:t>
            </w:r>
          </w:p>
        </w:tc>
        <w:tc>
          <w:tcPr>
            <w:tcW w:type="dxa" w:w="481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Do the join, subquery and set-operation versions of the same query get the same plan in SQL Server? When not, why?</w:t>
            </w:r>
          </w:p>
        </w:tc>
        <w:tc>
          <w:tcPr>
            <w:tcW w:type="dxa" w:w="251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DSC §16.2; CQ9.2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Normalization versus denormalization</w:t>
            </w:r>
          </w:p>
        </w:tc>
        <w:tc>
          <w:tcPr>
            <w:tcW w:type="dxa" w:w="481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How much faster are the main read queries on a denormalized copy, and how much more do updates cost?</w:t>
            </w:r>
          </w:p>
        </w:tc>
        <w:tc>
          <w:tcPr>
            <w:tcW w:type="dxa" w:w="251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DSC §7.9 (self-study)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Isolation levels (concurrency teams)</w:t>
            </w:r>
          </w:p>
        </w:tc>
        <w:tc>
          <w:tcPr>
            <w:tcW w:type="dxa" w:w="481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Which anomalies occur in the domain's main transactions at each isolation level, and how does the choice affect blocking and deadlocks?</w:t>
            </w:r>
          </w:p>
        </w:tc>
        <w:tc>
          <w:tcPr>
            <w:tcW w:type="dxa" w:w="251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DSC Ch. 17–18; Lab 5 part 2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8" w:sz="4"/>
              <w:left w:val="single" w:color="C8553D" w:sz="24"/>
              <w:bottom w:val="single" w:color="C9D3D8" w:sz="4"/>
              <w:right w:val="single" w:color="C9D3D8" w:sz="4"/>
            </w:tcBorders>
            <w:shd w:fill="EAF0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8553D"/>
              </w:rPr>
              <w:t xml:space="preserve">Concurrency teams</w:t>
            </w:r>
          </w:p>
          <w:p>
            <w:pPr>
              <w:spacing w:after="60"/>
            </w:pPr>
            <w:r>
              <w:t xml:space="preserve">Teams in the isolation-levels track present only their research question, related work and experiment design at milestone 2. They run the approved experiments in session 54 with the two-session set-up of Lab 5 part 2 and record the measurements for the final report.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3.4 Milestones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1"/>
        <w:gridCol w:w="1732"/>
        <w:gridCol w:w="4764"/>
        <w:gridCol w:w="1951"/>
      </w:tblGrid>
      <w:tr>
        <w:trPr>
          <w:tblHeader/>
        </w:trPr>
        <w:tc>
          <w:tcPr>
            <w:tcW w:type="dxa" w:w="119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F3B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Session</w:t>
            </w:r>
          </w:p>
        </w:tc>
        <w:tc>
          <w:tcPr>
            <w:tcW w:type="dxa" w:w="173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F3B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Milestone</w:t>
            </w:r>
          </w:p>
        </w:tc>
        <w:tc>
          <w:tcPr>
            <w:tcW w:type="dxa" w:w="476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F3B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the team brings</w:t>
            </w:r>
          </w:p>
        </w:tc>
        <w:tc>
          <w:tcPr>
            <w:tcW w:type="dxa" w:w="195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F3B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Assessment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7</w:t>
            </w:r>
          </w:p>
        </w:tc>
        <w:tc>
          <w:tcPr>
            <w:tcW w:type="dxa" w:w="173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Introduction</w:t>
            </w:r>
          </w:p>
        </w:tc>
        <w:tc>
          <w:tcPr>
            <w:tcW w:type="dxa" w:w="476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Team members and application domain</w:t>
            </w:r>
          </w:p>
        </w:tc>
        <w:tc>
          <w:tcPr>
            <w:tcW w:type="dxa" w:w="195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Teams and domains approved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39</w:t>
            </w:r>
          </w:p>
        </w:tc>
        <w:tc>
          <w:tcPr>
            <w:tcW w:type="dxa" w:w="173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Milestone 1: design review</w:t>
            </w:r>
          </w:p>
        </w:tc>
        <w:tc>
          <w:tcPr>
            <w:tcW w:type="dxa" w:w="476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Design document: requirements, E-R model, normalized schema with constraints and FD proofs, research question with an initial related-work list; 5-minute presentation</w:t>
            </w:r>
          </w:p>
        </w:tc>
        <w:tc>
          <w:tcPr>
            <w:tcW w:type="dxa" w:w="195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25% of the project mark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52</w:t>
            </w:r>
          </w:p>
        </w:tc>
        <w:tc>
          <w:tcPr>
            <w:tcW w:type="dxa" w:w="173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Milestone 2: progress meeting</w:t>
            </w:r>
          </w:p>
        </w:tc>
        <w:tc>
          <w:tcPr>
            <w:tcW w:type="dxa" w:w="476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Experiment method, related work found so far, preliminary results (concurrency teams: question, related work and experiment design only)</w:t>
            </w:r>
          </w:p>
        </w:tc>
        <w:tc>
          <w:tcPr>
            <w:tcW w:type="dxa" w:w="195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Feedback; not marked. Revise the method before the final presentation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56–57</w:t>
            </w:r>
          </w:p>
        </w:tc>
        <w:tc>
          <w:tcPr>
            <w:tcW w:type="dxa" w:w="173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Final presentation</w:t>
            </w:r>
          </w:p>
        </w:tc>
        <w:tc>
          <w:tcPr>
            <w:tcW w:type="dxa" w:w="476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10-minute presentation + 5 minutes of questions; final report, scripts and data</w:t>
            </w:r>
          </w:p>
        </w:tc>
        <w:tc>
          <w:tcPr>
            <w:tcW w:type="dxa" w:w="195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Report 40%, reproducibility 10%, presentation 20%, peer evaluation 5%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4. Guidance and hints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Choose a domain the team knows well; realistic business rules make better triggers and better research questions.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the research question narrow: one independent variable and one or two measured quantities is enough for a good study.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 data with a T-SQL script (as in </w:t>
      </w:r>
      <w:r>
        <w:rPr>
          <w:rFonts w:ascii="Courier New" w:cs="Courier New" w:eastAsia="Courier New" w:hAnsi="Courier New"/>
          <w:sz w:val="19"/>
          <w:szCs w:val="19"/>
        </w:rPr>
        <w:t xml:space="preserve">lab3_scale.sql</w:t>
      </w:r>
      <w:r>
        <w:t xml:space="preserve"> and </w:t>
      </w:r>
      <w:r>
        <w:rPr>
          <w:rFonts w:ascii="Courier New" w:cs="Courier New" w:eastAsia="Courier New" w:hAnsi="Courier New"/>
          <w:sz w:val="19"/>
          <w:szCs w:val="19"/>
        </w:rPr>
        <w:t xml:space="preserve">lab5_large.sql</w:t>
      </w:r>
      <w:r>
        <w:t xml:space="preserve">) so that anyone can recreate it; fix the random seed or use deterministic formulas.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Measure more than once and report the median or the mean with the spread. Record logical reads as well as time: they are more stable than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Explain every result with the course theory. A table of numbers without an explanation is not a result.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Primary sources: the DSC bibliographical notes at the end of each chapter, the SQL Server documentation (learn.microsoft.com), and papers in ACM SIGMOD, VLDB and ICDE proceedings.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a contribution log from session 7: who did what and when. The log is used for individual marks.</w:t>
      </w:r>
    </w:p>
    <w:p>
      <w:pPr>
        <w:pStyle w:val="Heading1"/>
      </w:pPr>
      <w:r>
        <w:t xml:space="preserve">5. Rubric</w:t>
      </w:r>
    </w:p>
    <w:p>
      <w:pPr>
        <w:spacing w:after="100"/>
      </w:pPr>
      <w:r>
        <w:t xml:space="preserve">Weights follow the Grading structure of the syllabus. Each lecturer of the panel marks independently; the project mark is the average.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7"/>
        <w:gridCol w:w="786"/>
        <w:gridCol w:w="3343"/>
        <w:gridCol w:w="2952"/>
      </w:tblGrid>
      <w:tr>
        <w:trPr>
          <w:tblHeader/>
        </w:trPr>
        <w:tc>
          <w:tcPr>
            <w:tcW w:type="dxa" w:w="255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F3B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Criterion</w:t>
            </w:r>
          </w:p>
        </w:tc>
        <w:tc>
          <w:tcPr>
            <w:tcW w:type="dxa" w:w="78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F3B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Points</w:t>
            </w:r>
          </w:p>
        </w:tc>
        <w:tc>
          <w:tcPr>
            <w:tcW w:type="dxa" w:w="33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F3B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Full marks</w:t>
            </w:r>
          </w:p>
        </w:tc>
        <w:tc>
          <w:tcPr>
            <w:tcW w:type="dxa" w:w="295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F3B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Partial marks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Milestone 1: design review</w:t>
            </w:r>
          </w:p>
        </w:tc>
        <w:tc>
          <w:tcPr>
            <w:tcW w:type="dxa" w:w="78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2.5</w:t>
            </w:r>
          </w:p>
        </w:tc>
        <w:tc>
          <w:tcPr>
            <w:tcW w:type="dxa" w:w="33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95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5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E-R model and requirements</w:t>
            </w:r>
          </w:p>
        </w:tc>
        <w:tc>
          <w:tcPr>
            <w:tcW w:type="dxa" w:w="78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0.75</w:t>
            </w:r>
          </w:p>
        </w:tc>
        <w:tc>
          <w:tcPr>
            <w:tcW w:type="dxa" w:w="33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Complete, correct notation; a rejected alternative is justified</w:t>
            </w:r>
          </w:p>
        </w:tc>
        <w:tc>
          <w:tcPr>
            <w:tcW w:type="dxa" w:w="295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Minor errors in cardinality or participation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Normalized schema with constraints</w:t>
            </w:r>
          </w:p>
        </w:tc>
        <w:tc>
          <w:tcPr>
            <w:tcW w:type="dxa" w:w="78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1.0</w:t>
            </w:r>
          </w:p>
        </w:tc>
        <w:tc>
          <w:tcPr>
            <w:tcW w:type="dxa" w:w="33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FDs stated; BCNF/3NF proved by attribute closure; keys and constraints complete</w:t>
            </w:r>
          </w:p>
        </w:tc>
        <w:tc>
          <w:tcPr>
            <w:tcW w:type="dxa" w:w="295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Normal form claimed without proof, or missing constraints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Research question and initial related work</w:t>
            </w:r>
          </w:p>
        </w:tc>
        <w:tc>
          <w:tcPr>
            <w:tcW w:type="dxa" w:w="78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0.5</w:t>
            </w:r>
          </w:p>
        </w:tc>
        <w:tc>
          <w:tcPr>
            <w:tcW w:type="dxa" w:w="33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Precise, testable question with hypothesis; at least 2 relevant sources</w:t>
            </w:r>
          </w:p>
        </w:tc>
        <w:tc>
          <w:tcPr>
            <w:tcW w:type="dxa" w:w="295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Question too broad or sources not relevant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Design presentation</w:t>
            </w:r>
          </w:p>
        </w:tc>
        <w:tc>
          <w:tcPr>
            <w:tcW w:type="dxa" w:w="78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0.25</w:t>
            </w:r>
          </w:p>
        </w:tc>
        <w:tc>
          <w:tcPr>
            <w:tcW w:type="dxa" w:w="33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Clear, within 5 minutes, answers questions</w:t>
            </w:r>
          </w:p>
        </w:tc>
        <w:tc>
          <w:tcPr>
            <w:tcW w:type="dxa" w:w="295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Unclear or over time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Final report</w:t>
            </w:r>
          </w:p>
        </w:tc>
        <w:tc>
          <w:tcPr>
            <w:tcW w:type="dxa" w:w="78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4.0</w:t>
            </w:r>
          </w:p>
        </w:tc>
        <w:tc>
          <w:tcPr>
            <w:tcW w:type="dxa" w:w="33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95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5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Question and related work</w:t>
            </w:r>
          </w:p>
        </w:tc>
        <w:tc>
          <w:tcPr>
            <w:tcW w:type="dxa" w:w="78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1.0</w:t>
            </w:r>
          </w:p>
        </w:tc>
        <w:tc>
          <w:tcPr>
            <w:tcW w:type="dxa" w:w="33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Question motivated; at least 4 sources, 2 primary, positioned against the question</w:t>
            </w:r>
          </w:p>
        </w:tc>
        <w:tc>
          <w:tcPr>
            <w:tcW w:type="dxa" w:w="295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Fewer sources or summaries not linked to the question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Method</w:t>
            </w:r>
          </w:p>
        </w:tc>
        <w:tc>
          <w:tcPr>
            <w:tcW w:type="dxa" w:w="78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1.0</w:t>
            </w:r>
          </w:p>
        </w:tc>
        <w:tc>
          <w:tcPr>
            <w:tcW w:type="dxa" w:w="33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Workload, data, variables, repetitions and environment stated; experiment controls other factors</w:t>
            </w:r>
          </w:p>
        </w:tc>
        <w:tc>
          <w:tcPr>
            <w:tcW w:type="dxa" w:w="295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Some elements missing; results hard to interpret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Results</w:t>
            </w:r>
          </w:p>
        </w:tc>
        <w:tc>
          <w:tcPr>
            <w:tcW w:type="dxa" w:w="78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1.0</w:t>
            </w:r>
          </w:p>
        </w:tc>
        <w:tc>
          <w:tcPr>
            <w:tcW w:type="dxa" w:w="33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Clear tables or plots; numbers consistent with the scripts</w:t>
            </w:r>
          </w:p>
        </w:tc>
        <w:tc>
          <w:tcPr>
            <w:tcW w:type="dxa" w:w="295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Results incomplete or not consistent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Discussion</w:t>
            </w:r>
          </w:p>
        </w:tc>
        <w:tc>
          <w:tcPr>
            <w:tcW w:type="dxa" w:w="78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0.5</w:t>
            </w:r>
          </w:p>
        </w:tc>
        <w:tc>
          <w:tcPr>
            <w:tcW w:type="dxa" w:w="33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Results explained with course theory; threats to validity discussed</w:t>
            </w:r>
          </w:p>
        </w:tc>
        <w:tc>
          <w:tcPr>
            <w:tcW w:type="dxa" w:w="295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Description without explanation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Database part and writing</w:t>
            </w:r>
          </w:p>
        </w:tc>
        <w:tc>
          <w:tcPr>
            <w:tcW w:type="dxa" w:w="78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0.5</w:t>
            </w:r>
          </w:p>
        </w:tc>
        <w:tc>
          <w:tcPr>
            <w:tcW w:type="dxa" w:w="33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Queries with correctness arguments, procedures and triggers documented; well structured, cited</w:t>
            </w:r>
          </w:p>
        </w:tc>
        <w:tc>
          <w:tcPr>
            <w:tcW w:type="dxa" w:w="295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Parts missing or poorly written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Reproducibility</w:t>
            </w:r>
          </w:p>
        </w:tc>
        <w:tc>
          <w:tcPr>
            <w:tcW w:type="dxa" w:w="78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1.0</w:t>
            </w:r>
          </w:p>
        </w:tc>
        <w:tc>
          <w:tcPr>
            <w:tcW w:type="dxa" w:w="33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 lecturer can recreate the database, data and measurements from the README in one run</w:t>
            </w:r>
          </w:p>
        </w:tc>
        <w:tc>
          <w:tcPr>
            <w:tcW w:type="dxa" w:w="295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Some manual steps or missing scripts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Presentation and Q&amp;A</w:t>
            </w:r>
          </w:p>
        </w:tc>
        <w:tc>
          <w:tcPr>
            <w:tcW w:type="dxa" w:w="78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2.0</w:t>
            </w:r>
          </w:p>
        </w:tc>
        <w:tc>
          <w:tcPr>
            <w:tcW w:type="dxa" w:w="33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Within 10 minutes; clear question, method, results; every member answers questions correctly</w:t>
            </w:r>
          </w:p>
        </w:tc>
        <w:tc>
          <w:tcPr>
            <w:tcW w:type="dxa" w:w="295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Over time, unclear, or members unable to explain their part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Peer evaluation</w:t>
            </w:r>
          </w:p>
        </w:tc>
        <w:tc>
          <w:tcPr>
            <w:tcW w:type="dxa" w:w="78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0.5</w:t>
            </w:r>
          </w:p>
        </w:tc>
        <w:tc>
          <w:tcPr>
            <w:tcW w:type="dxa" w:w="33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Average of the marks given by team members to each other</w:t>
            </w:r>
          </w:p>
        </w:tc>
        <w:tc>
          <w:tcPr>
            <w:tcW w:type="dxa" w:w="295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55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78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334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95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8" w:sz="4"/>
              <w:left w:val="single" w:color="C8553D" w:sz="24"/>
              <w:bottom w:val="single" w:color="C9D3D8" w:sz="4"/>
              <w:right w:val="single" w:color="C9D3D8" w:sz="4"/>
            </w:tcBorders>
            <w:shd w:fill="EAF0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8553D"/>
              </w:rPr>
              <w:t xml:space="preserve">Individual marks and academic integrity</w:t>
            </w:r>
          </w:p>
          <w:p>
            <w:pPr>
              <w:spacing w:after="60"/>
            </w:pPr>
            <w:r>
              <w:t xml:space="preserve">Individual marks may differ within a team, based on the contribution logs and the peer evaluation.</w:t>
            </w:r>
          </w:p>
          <w:p>
            <w:pPr>
              <w:spacing w:after="60"/>
            </w:pPr>
            <w:r>
              <w:t xml:space="preserve">Plagiarism or undisclosed AI-generated content leads to a score of 0. Every report ends with a statement of which tools, including AI tools, were used and for what.</w:t>
            </w:r>
          </w:p>
          <w:p>
            <w:pPr>
              <w:spacing w:after="60"/>
            </w:pPr>
            <w:r>
              <w:t xml:space="preserve">The presentation is not a condition for final-exam eligibility.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 Deliverables</w:t>
      </w:r>
    </w:p>
    <w:p>
      <w:pPr>
        <w:pStyle w:val="Heading3"/>
      </w:pPr>
      <w:r>
        <w:t xml:space="preserve">Milestone 1 (session 39)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19"/>
          <w:szCs w:val="19"/>
        </w:rPr>
        <w:t xml:space="preserve">IDB201_Team&lt;NN&gt;_Design.pdf</w:t>
      </w:r>
      <w:r>
        <w:t xml:space="preserve">: requirements, E-R diagram, relational schemas with FDs and normal-form proofs, research question and hypothesis, initial related-work list (at most 8 pages).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5-minute presentation (at most 5 slides).</w:t>
      </w:r>
    </w:p>
    <w:p>
      <w:pPr>
        <w:pStyle w:val="Heading3"/>
      </w:pPr>
      <w:r>
        <w:t xml:space="preserve">Final (sessions 56–57)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19"/>
          <w:szCs w:val="19"/>
        </w:rPr>
        <w:t xml:space="preserve">IDB201_Team&lt;NN&gt;_Report.pdf</w:t>
      </w:r>
      <w:r>
        <w:t xml:space="preserve">: at most 12 pages excluding references and appendices, with the sections Introduction (question and hypothesis), Related work, Database design, Method, Results, Discussion and threats to validity, Conclusion, References, Contribution and tool-use statement.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19"/>
          <w:szCs w:val="19"/>
        </w:rPr>
        <w:t xml:space="preserve">IDB201_Team&lt;NN&gt;_Code.zip</w:t>
      </w:r>
      <w:r>
        <w:t xml:space="preserve"> (or a link to a repository): </w:t>
      </w:r>
      <w:r>
        <w:rPr>
          <w:rFonts w:ascii="Courier New" w:cs="Courier New" w:eastAsia="Courier New" w:hAnsi="Courier New"/>
          <w:sz w:val="19"/>
          <w:szCs w:val="19"/>
        </w:rPr>
        <w:t xml:space="preserve">README.md</w:t>
      </w:r>
      <w:r>
        <w:t xml:space="preserve"> with the run order; </w:t>
      </w:r>
      <w:r>
        <w:rPr>
          <w:rFonts w:ascii="Courier New" w:cs="Courier New" w:eastAsia="Courier New" w:hAnsi="Courier New"/>
          <w:sz w:val="19"/>
          <w:szCs w:val="19"/>
        </w:rPr>
        <w:t xml:space="preserve">01_schema.sql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02_data.sql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03_queries.sql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04_procedures_triggers.sql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05_experiments.sql</w:t>
      </w:r>
      <w:r>
        <w:t xml:space="preserve">; the raw measurements (CSV).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19"/>
          <w:szCs w:val="19"/>
        </w:rPr>
        <w:t xml:space="preserve">IDB201_Team&lt;NN&gt;_Slides.pptx</w:t>
      </w:r>
      <w:r>
        <w:t xml:space="preserve"> for the 10-minute presentation.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contribution log and the peer-evaluation form (one per member).</w:t>
      </w:r>
    </w:p>
    <w:p>
      <w:pPr>
        <w:pStyle w:val="Heading1"/>
      </w:pPr>
      <w:r>
        <w:t xml:space="preserve">7. Brief solution hints (lecturer copy)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8" w:sz="4"/>
              <w:left w:val="single" w:color="C8553D" w:sz="24"/>
              <w:bottom w:val="single" w:color="C9D3D8" w:sz="4"/>
              <w:right w:val="single" w:color="C9D3D8" w:sz="4"/>
            </w:tcBorders>
            <w:shd w:fill="EAF0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8553D"/>
              </w:rPr>
              <w:t xml:space="preserve">Remove this section before giving the brief to students.</w:t>
            </w:r>
          </w:p>
          <w:p>
            <w:pPr>
              <w:spacing w:after="60"/>
            </w:pPr>
            <w:r>
              <w:t xml:space="preserve">An outline of a strong project, to calibrate the rubric.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Domain: a public library network. Entity sets: branch, book (title-level), copy (weak entity set of book, discriminator copy</w:t>
      </w:r>
      <w:r>
        <w:rPr>
          <w:i/>
          <w:iCs/>
        </w:rPr>
        <w:t xml:space="preserve">no), member, loan, author; relationship sets: written</w:t>
      </w:r>
      <w:r>
        <w:t xml:space="preserve">by (many-to-many), located_at (copy → branch), borrows (member–copy, with loan and due dates). Rejected alternative: author as a multivalued attribute of book, rejected because author data (name, birth year) is needed.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FDs, e.g. loan(copy</w:t>
      </w:r>
      <w:r>
        <w:rPr>
          <w:i/>
          <w:iCs/>
        </w:rPr>
        <w:t xml:space="preserve">id, loan</w:t>
      </w:r>
      <w:r>
        <w:t xml:space="preserve">date → member</w:t>
      </w:r>
      <w:r>
        <w:rPr>
          <w:i/>
          <w:iCs/>
        </w:rPr>
        <w:t xml:space="preserve">id, due</w:t>
      </w:r>
      <w:r>
        <w:t xml:space="preserve">date, return_date); every left side is a key, so the schema is in BCNF; proofs by attribute closure.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rules: 'a member may hold at most 5 copies' (trigger or procedure: a check constraint in SQL Server cannot contain a subquery); 'a reserved copy may be lent only to the member who reserved it' (procedure).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Research question (constraints versus triggers): </w:t>
      </w:r>
      <w:r>
        <w:rPr>
          <w:i/>
          <w:iCs/>
        </w:rPr>
        <w:t xml:space="preserve">How much does enforcing the 5-copy rule with an AFTER INSERT trigger increase the cost of a loan insert, compared with the same check inside a stored procedure, for 10^3 to 10^6 existing loans?</w:t>
      </w:r>
      <w:r>
        <w:t xml:space="preserve"> Method: identical inserts in a loop; measure elapsed time and logical reads; with and without an index on loan(member</w:t>
      </w:r>
      <w:r>
        <w:rPr>
          <w:i/>
          <w:iCs/>
        </w:rPr>
        <w:t xml:space="preserve">id, return</w:t>
      </w:r>
      <w:r>
        <w:t xml:space="preserve">date).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Expected discussion: without the index, the check scans loan, so its cost grows with the table (DSC §15.3, A1); with the index it is a seek (A2/A4) and nearly constant. A trigger and a procedure doing the same lookup cost about the same; the difference is that the trigger also protects inserts that bypass the procedure (DSC §5.3).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Common weaknesses: research question with no measurable variable; one measurement per setting; results explained by 'SQL Server is faster' instead of the cost model; data not reproducible.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770"/>
        <w:sz w:val="16"/>
        <w:szCs w:val="16"/>
      </w:rPr>
      <w:t xml:space="preserve">Page </w:t>
    </w:r>
    <w:r>
      <w:rPr>
        <w:color w:val="5B6770"/>
        <w:sz w:val="16"/>
        <w:szCs w:val="16"/>
      </w:rPr>
      <w:fldChar w:fldCharType="begin"/>
    </w:r>
    <w:r>
      <w:rPr>
        <w:color w:val="5B6770"/>
        <w:sz w:val="16"/>
        <w:szCs w:val="16"/>
      </w:rPr>
      <w:instrText xml:space="preserve">PAGE</w:instrText>
    </w:r>
    <w:r>
      <w:rPr>
        <w:color w:val="5B6770"/>
        <w:sz w:val="16"/>
        <w:szCs w:val="16"/>
      </w:rPr>
      <w:fldChar w:fldCharType="separate"/>
    </w:r>
    <w:r>
      <w:rPr>
        <w:color w:val="5B6770"/>
        <w:sz w:val="16"/>
        <w:szCs w:val="16"/>
      </w:rPr>
      <w:fldChar w:fldCharType="end"/>
    </w:r>
    <w:r>
      <w:rPr>
        <w:color w:val="5B6770"/>
        <w:sz w:val="16"/>
        <w:szCs w:val="16"/>
      </w:rPr>
      <w:t xml:space="preserve"> of </w:t>
    </w:r>
    <w:r>
      <w:rPr>
        <w:color w:val="5B6770"/>
        <w:sz w:val="16"/>
        <w:szCs w:val="16"/>
      </w:rPr>
      <w:fldChar w:fldCharType="begin"/>
    </w:r>
    <w:r>
      <w:rPr>
        <w:color w:val="5B6770"/>
        <w:sz w:val="16"/>
        <w:szCs w:val="16"/>
      </w:rPr>
      <w:instrText xml:space="preserve">NUMPAGES</w:instrText>
    </w:r>
    <w:r>
      <w:rPr>
        <w:color w:val="5B6770"/>
        <w:sz w:val="16"/>
        <w:szCs w:val="16"/>
      </w:rPr>
      <w:fldChar w:fldCharType="separate"/>
    </w:r>
    <w:r>
      <w:rPr>
        <w:color w:val="5B67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770"/>
        <w:sz w:val="16"/>
        <w:szCs w:val="16"/>
      </w:rPr>
      <w:t xml:space="preserve">IDB201 – Group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  <w:lvl w:ilvl="1" w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pPr>
      <w:spacing w:after="80"/>
    </w:pPr>
    <w:rPr>
      <w:rFonts w:ascii="Cambria" w:cs="Cambria" w:eastAsia="Cambria" w:hAnsi="Cambria"/>
      <w:b/>
      <w:bCs/>
      <w:color w:val="1F3B4D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9D3D8" w:sz="6" w:space="2"/>
      </w:pBdr>
      <w:spacing w:after="120" w:before="280"/>
      <w:outlineLvl w:val="0"/>
    </w:pPr>
    <w:rPr>
      <w:rFonts w:ascii="Cambria" w:cs="Cambria" w:eastAsia="Cambria" w:hAnsi="Cambria"/>
      <w:b/>
      <w:bCs/>
      <w:color w:val="1F3B4D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Cambria" w:cs="Cambria" w:eastAsia="Cambria" w:hAnsi="Cambria"/>
      <w:b/>
      <w:bCs/>
      <w:color w:val="1F3B4D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Cambria" w:cs="Cambria" w:eastAsia="Cambria" w:hAnsi="Cambria"/>
      <w:b/>
      <w:bCs/>
      <w:color w:val="C8553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IDB201 Group project</dc:title>
  <dc:creator>IDB201 course team</dc:creator>
  <cp:lastModifiedBy>Un-named</cp:lastModifiedBy>
  <cp:revision>1</cp:revision>
  <dcterms:created xsi:type="dcterms:W3CDTF">2026-10-24T01:44:49.879Z</dcterms:created>
  <dcterms:modified xsi:type="dcterms:W3CDTF">2026-10-24T01:44:49.880Z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