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 xml:space="preserve">SAP Integration Suite </w:t>
        <w:br/>
        <w:t>Cloud Integration - Technical Specification</w:t>
        <w:br/>
        <w:t xml:space="preserve"> iFlow Name : Post_Bulk_Order_SV</w:t>
      </w:r>
    </w:p>
    <w:p>
      <w:pPr>
        <w:jc w:val="center"/>
      </w:pPr>
      <w:r>
        <w:rPr>
          <w:b w:val="0"/>
          <w:i w:val="0"/>
          <w:sz w:val="24"/>
        </w:rPr>
        <w:t>Version: 1.0</w:t>
      </w:r>
    </w:p>
    <w:p>
      <w:pPr>
        <w:jc w:val="center"/>
      </w:pPr>
      <w:r>
        <w:rPr>
          <w:b w:val="0"/>
          <w:i w:val="0"/>
          <w:sz w:val="24"/>
        </w:rPr>
        <w:t>Author: Generated by AI</w:t>
      </w:r>
    </w:p>
    <w:p>
      <w:pPr>
        <w:jc w:val="center"/>
      </w:pPr>
      <w:r>
        <w:rPr>
          <w:b w:val="0"/>
          <w:i w:val="0"/>
          <w:sz w:val="24"/>
        </w:rPr>
        <w:t>Date: 2025-11-04</w:t>
      </w:r>
    </w:p>
    <w:p>
      <w:r>
        <w:br w:type="page"/>
      </w:r>
    </w:p>
    <w:p>
      <w:pPr>
        <w:pStyle w:val="Heading1"/>
      </w:pPr>
      <w:r>
        <w:t>Table of Contents</w:t>
      </w:r>
    </w:p>
    <w:p>
      <w:r>
        <w:rPr>
          <w:b w:val="0"/>
          <w:i w:val="0"/>
          <w:sz w:val="24"/>
        </w:rPr>
        <w:t>1. Change History</w:t>
      </w:r>
    </w:p>
    <w:p>
      <w:r>
        <w:rPr>
          <w:b w:val="0"/>
          <w:i w:val="0"/>
          <w:sz w:val="24"/>
        </w:rPr>
        <w:t>2. Overview</w:t>
      </w:r>
    </w:p>
    <w:p>
      <w:r>
        <w:rPr>
          <w:b w:val="0"/>
          <w:i w:val="0"/>
          <w:sz w:val="24"/>
        </w:rPr>
        <w:t>3. High level iFlow Design</w:t>
      </w:r>
    </w:p>
    <w:p>
      <w:r>
        <w:rPr>
          <w:b w:val="0"/>
          <w:i w:val="0"/>
          <w:sz w:val="24"/>
        </w:rPr>
        <w:t>4. Message Flow</w:t>
      </w:r>
    </w:p>
    <w:p>
      <w:r>
        <w:rPr>
          <w:b w:val="0"/>
          <w:i w:val="0"/>
          <w:sz w:val="24"/>
        </w:rPr>
        <w:t>5. Technical Description</w:t>
      </w:r>
    </w:p>
    <w:p>
      <w:r>
        <w:rPr>
          <w:b w:val="0"/>
          <w:i w:val="0"/>
          <w:sz w:val="24"/>
        </w:rPr>
        <w:t>5.1. Main Integration Process</w:t>
      </w:r>
    </w:p>
    <w:p>
      <w:r>
        <w:rPr>
          <w:b w:val="0"/>
          <w:i w:val="0"/>
          <w:sz w:val="24"/>
        </w:rPr>
        <w:t>5.2. Local Integration Process</w:t>
      </w:r>
    </w:p>
    <w:p>
      <w:r>
        <w:rPr>
          <w:b w:val="0"/>
          <w:i w:val="0"/>
          <w:sz w:val="24"/>
        </w:rPr>
        <w:t>5.3. Sender</w:t>
      </w:r>
    </w:p>
    <w:p>
      <w:r>
        <w:rPr>
          <w:b w:val="0"/>
          <w:i w:val="0"/>
          <w:sz w:val="24"/>
        </w:rPr>
        <w:t>5.4. Receiver</w:t>
      </w:r>
    </w:p>
    <w:p>
      <w:r>
        <w:rPr>
          <w:b w:val="0"/>
          <w:i w:val="0"/>
          <w:sz w:val="24"/>
        </w:rPr>
        <w:t>5.5. Mappings</w:t>
      </w:r>
    </w:p>
    <w:p>
      <w:r>
        <w:rPr>
          <w:b w:val="0"/>
          <w:i w:val="0"/>
          <w:sz w:val="24"/>
        </w:rPr>
        <w:t>5.6. Security</w:t>
      </w:r>
    </w:p>
    <w:p>
      <w:r>
        <w:rPr>
          <w:b w:val="0"/>
          <w:i w:val="0"/>
          <w:sz w:val="24"/>
        </w:rPr>
        <w:t>5.7. Groovy Scripts</w:t>
      </w:r>
    </w:p>
    <w:p>
      <w:r>
        <w:rPr>
          <w:b w:val="0"/>
          <w:i w:val="0"/>
          <w:sz w:val="24"/>
        </w:rPr>
        <w:t>5.8. Error Handling &amp; Logging</w:t>
      </w:r>
    </w:p>
    <w:p>
      <w:r>
        <w:rPr>
          <w:b w:val="0"/>
          <w:i w:val="0"/>
          <w:sz w:val="24"/>
        </w:rPr>
        <w:t>6. Version and Metadata</w:t>
      </w:r>
    </w:p>
    <w:p>
      <w:r>
        <w:rPr>
          <w:b w:val="0"/>
          <w:i w:val="0"/>
          <w:sz w:val="24"/>
        </w:rPr>
        <w:t>7. Appendix</w:t>
      </w:r>
    </w:p>
    <w:p>
      <w:r>
        <w:br w:type="page"/>
      </w:r>
    </w:p>
    <w:p>
      <w:pPr>
        <w:pStyle w:val="Heading1"/>
      </w:pPr>
      <w:r>
        <w:t>1. 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3366"/>
              </w:rPr>
              <w:t>Version</w:t>
            </w:r>
          </w:p>
        </w:tc>
        <w:tc>
          <w:tcPr>
            <w:tcW w:type="dxa" w:w="2160"/>
          </w:tcPr>
          <w:p>
            <w:r>
              <w:rPr>
                <w:b/>
                <w:color w:val="003366"/>
              </w:rPr>
              <w:t>Date</w:t>
            </w:r>
          </w:p>
        </w:tc>
        <w:tc>
          <w:tcPr>
            <w:tcW w:type="dxa" w:w="2160"/>
          </w:tcPr>
          <w:p>
            <w:r>
              <w:rPr>
                <w:b/>
                <w:color w:val="003366"/>
              </w:rPr>
              <w:t>Author</w:t>
            </w:r>
          </w:p>
        </w:tc>
        <w:tc>
          <w:tcPr>
            <w:tcW w:type="dxa" w:w="2160"/>
          </w:tcPr>
          <w:p>
            <w:r>
              <w:rPr>
                <w:b/>
                <w:color w:val="003366"/>
              </w:rPr>
              <w:t>Description</w:t>
            </w:r>
          </w:p>
        </w:tc>
      </w:tr>
      <w:tr>
        <w:tc>
          <w:tcPr>
            <w:tcW w:type="dxa" w:w="2160"/>
          </w:tcPr>
          <w:p>
            <w:r>
              <w:t>1.0</w:t>
            </w:r>
          </w:p>
        </w:tc>
        <w:tc>
          <w:tcPr>
            <w:tcW w:type="dxa" w:w="2160"/>
          </w:tcPr>
          <w:p>
            <w:r>
              <w:t>2025-11-04</w:t>
            </w:r>
          </w:p>
        </w:tc>
        <w:tc>
          <w:tcPr>
            <w:tcW w:type="dxa" w:w="2160"/>
          </w:tcPr>
          <w:p>
            <w:r>
              <w:t>Generated by AI</w:t>
            </w:r>
          </w:p>
        </w:tc>
        <w:tc>
          <w:tcPr>
            <w:tcW w:type="dxa" w:w="2160"/>
          </w:tcPr>
          <w:p>
            <w:r>
              <w:t>Initial version</w:t>
            </w:r>
          </w:p>
        </w:tc>
      </w:tr>
    </w:tbl>
    <w:p>
      <w:r>
        <w:br w:type="page"/>
      </w:r>
    </w:p>
    <w:p>
      <w:pPr>
        <w:pStyle w:val="Heading1"/>
      </w:pPr>
      <w:r>
        <w:t>2. Overview</w:t>
      </w:r>
    </w:p>
    <w:p>
      <w:r>
        <w:rPr>
          <w:b w:val="0"/>
          <w:i w:val="0"/>
          <w:sz w:val="24"/>
        </w:rPr>
        <w:t>This technical specification document serves as a comprehensive artifact detailing the configuration and design of the Post_Bulk_Order_SV iFlow. It outlines the iFlow's properties, including namespace mappings, HTTP session handling, logging behavior, and CORS settings. The document specifies the involved sender and receiver endpoints, their types (EndpointSender, EndpointReceiver), and relevant communication parameters. Crucially, it defines the message flows, detailing adapter-specific configurations for both HTTPS (sender) and OData V2 (receiver) connections, including authentication methods, message protocols, and endpoint addresses. This document facilitates understanding, deployment, and troubleshooting of the iFlow.</w:t>
        <w:br/>
      </w:r>
    </w:p>
    <w:p>
      <w:pPr>
        <w:pStyle w:val="Heading1"/>
      </w:pPr>
      <w:r>
        <w:t>3. High level iFlow Design</w:t>
      </w:r>
    </w:p>
    <w:p>
      <w:r>
        <w:rPr>
          <w:b w:val="0"/>
          <w:i w:val="0"/>
          <w:sz w:val="24"/>
        </w:rPr>
        <w:t>The iFlow `Post_Bulk_Order_SV` processes messages from a Sender to a Receiver system. It begins with a `StartEvent` that triggers the iFlow. The initial message is enriched with static data from `Content Modifier 1`. A `Message Mapping` component then transforms the message, followed by `Content Modifier 3` that sets a header. Next, a `Request Reply` step calls an external service and the response is split into individual parts by the `General Splitter 1`. Each part is routed depending on a condition where successul status codes are written to a Datastore and failures are processed by a final content modifier.</w:t>
        <w:br/>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bpmn_diagram.png"/>
                    <pic:cNvPicPr/>
                  </pic:nvPicPr>
                  <pic:blipFill>
                    <a:blip r:embed="rId11"/>
                    <a:stretch>
                      <a:fillRect/>
                    </a:stretch>
                  </pic:blipFill>
                  <pic:spPr>
                    <a:xfrm>
                      <a:off x="0" y="0"/>
                      <a:ext cx="5486400" cy="1828800"/>
                    </a:xfrm>
                    <a:prstGeom prst="rect"/>
                  </pic:spPr>
                </pic:pic>
              </a:graphicData>
            </a:graphic>
          </wp:inline>
        </w:drawing>
      </w:r>
    </w:p>
    <w:p>
      <w:pPr>
        <w:jc w:val="center"/>
      </w:pPr>
      <w:r>
        <w:rPr>
          <w:b w:val="0"/>
          <w:i w:val="0"/>
          <w:sz w:val="24"/>
        </w:rPr>
        <w:t>Figure: High level BPMN iFlow message and sequence flow</w:t>
      </w:r>
    </w:p>
    <w:p>
      <w:pPr>
        <w:pStyle w:val="Heading1"/>
      </w:pPr>
      <w:r>
        <w:t>4. Message Flow</w:t>
      </w:r>
    </w:p>
    <w:p>
      <w:r>
        <w:rPr>
          <w:b w:val="0"/>
          <w:i w:val="0"/>
          <w:sz w:val="24"/>
        </w:rPr>
        <w:t>The iFlow contains two message flows. The first, named "OData", is a receiver channel utilizing the `HCIOData` component to connect to an OData V2 service at `http://sentrydev:44300/sap/opu/odata/sap/API_SALES_CONTRACT_SRV`, using basic authentication. The operation is set to "Create(POST)" for the `A_SalesContract` resource path, enabling MPL attachments and batch processing, with a specified system alias "Receiver1" and proxy type "sapcc". The second flow, named "HTTPS", is a sender channel based on the `HTTPS` adapter type, exposing the endpoint `/post_bulk/order_sv` via HTTPS and requiring the `ESBMessaging.send` role for access.  The first message flow references a EDMX file `edmx/sentrydev_44300_sap_opu_odata_sap_API_SALES_CONTRACT_SRV.edmx`.</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Source</w:t>
            </w:r>
          </w:p>
        </w:tc>
        <w:tc>
          <w:tcPr>
            <w:tcW w:type="dxa" w:w="2880"/>
          </w:tcPr>
          <w:p>
            <w:r>
              <w:rPr>
                <w:b/>
                <w:color w:val="003366"/>
              </w:rPr>
              <w:t>Target</w:t>
            </w:r>
          </w:p>
        </w:tc>
        <w:tc>
          <w:tcPr>
            <w:tcW w:type="dxa" w:w="2880"/>
          </w:tcPr>
          <w:p>
            <w:r>
              <w:rPr>
                <w:b/>
                <w:color w:val="003366"/>
              </w:rPr>
              <w:t>Name</w:t>
            </w:r>
          </w:p>
        </w:tc>
      </w:tr>
      <w:tr>
        <w:tc>
          <w:tcPr>
            <w:tcW w:type="dxa" w:w="2880"/>
          </w:tcPr>
          <w:p>
            <w:r>
              <w:t>Request Reply 1</w:t>
            </w:r>
          </w:p>
        </w:tc>
        <w:tc>
          <w:tcPr>
            <w:tcW w:type="dxa" w:w="2880"/>
          </w:tcPr>
          <w:p>
            <w:r>
              <w:t>Receiver1</w:t>
            </w:r>
          </w:p>
        </w:tc>
        <w:tc>
          <w:tcPr>
            <w:tcW w:type="dxa" w:w="2880"/>
          </w:tcPr>
          <w:p>
            <w:r>
              <w:t>OData</w:t>
            </w:r>
          </w:p>
        </w:tc>
      </w:tr>
      <w:tr>
        <w:tc>
          <w:tcPr>
            <w:tcW w:type="dxa" w:w="2880"/>
          </w:tcPr>
          <w:p>
            <w:r>
              <w:t>Sender</w:t>
            </w:r>
          </w:p>
        </w:tc>
        <w:tc>
          <w:tcPr>
            <w:tcW w:type="dxa" w:w="2880"/>
          </w:tcPr>
          <w:p>
            <w:r>
              <w:t>Start</w:t>
            </w:r>
          </w:p>
        </w:tc>
        <w:tc>
          <w:tcPr>
            <w:tcW w:type="dxa" w:w="2880"/>
          </w:tcPr>
          <w:p>
            <w:r>
              <w:t>HTTPS</w:t>
            </w:r>
          </w:p>
        </w:tc>
      </w:tr>
    </w:tbl>
    <w:p>
      <w:pPr>
        <w:pStyle w:val="Heading1"/>
      </w:pPr>
      <w:r>
        <w:t>5. Technical Description</w:t>
      </w:r>
    </w:p>
    <w:p>
      <w:pPr>
        <w:pStyle w:val="Heading2"/>
      </w:pPr>
      <w:r>
        <w:t xml:space="preserve">5.1. Main Integration Process </w:t>
      </w:r>
    </w:p>
    <w:p>
      <w:r>
        <w:rPr>
          <w:b w:val="0"/>
          <w:i w:val="0"/>
          <w:sz w:val="24"/>
        </w:rPr>
        <w:t>The iFlow `Process_1`, named "Integration Process", starts with a `StartEvent_2` that triggers `CallActivity_5` ("Content Modifier 1"). This is followed by `CallActivity_91` performing a message mapping via resource `dir://mmap/src/main/resources/mapping/Bulk2.mmap`, and `CallActivity_341642` ("Content Modifier 3"). Then, `ServiceTask_75189` ("Request Reply 1") triggers `CallActivity_341644` ("General Splitter 1") which splits the message based on the XPath expression `/batchPartResponse/batchChangeSetResponse/batchChangeSetPartResponse`. The flow then routes to either `CallActivity_75201` ("Write 1") for storing the message or to `CallActivity_75198` ("Content Modifier 2") based on a status code condition in the `ExclusiveGateway_75193` ("Router 1"), leading to two possible `EndEvent`s. The `transactionTimeout` property for the overall process is set to 30.</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Component Name</w:t>
            </w:r>
          </w:p>
        </w:tc>
        <w:tc>
          <w:tcPr>
            <w:tcW w:type="dxa" w:w="2880"/>
          </w:tcPr>
          <w:p>
            <w:r>
              <w:rPr>
                <w:b/>
                <w:color w:val="003366"/>
              </w:rPr>
              <w:t>Key</w:t>
            </w:r>
          </w:p>
        </w:tc>
        <w:tc>
          <w:tcPr>
            <w:tcW w:type="dxa" w:w="2880"/>
          </w:tcPr>
          <w:p>
            <w:r>
              <w:rPr>
                <w:b/>
                <w:color w:val="003366"/>
              </w:rPr>
              <w:t>Value</w:t>
            </w:r>
          </w:p>
        </w:tc>
      </w:tr>
      <w:tr>
        <w:tc>
          <w:tcPr>
            <w:tcW w:type="dxa" w:w="2880"/>
          </w:tcPr>
          <w:p>
            <w:r>
              <w:t>Integration Process</w:t>
            </w:r>
          </w:p>
        </w:tc>
        <w:tc>
          <w:tcPr>
            <w:tcW w:type="dxa" w:w="2880"/>
          </w:tcPr>
          <w:p>
            <w:r>
              <w:t>Transaction Timeout</w:t>
            </w:r>
          </w:p>
        </w:tc>
        <w:tc>
          <w:tcPr>
            <w:tcW w:type="dxa" w:w="2880"/>
          </w:tcPr>
          <w:p>
            <w:r>
              <w:t>30</w:t>
            </w:r>
          </w:p>
        </w:tc>
      </w:tr>
      <w:tr>
        <w:tc>
          <w:tcPr>
            <w:tcW w:type="dxa" w:w="2880"/>
          </w:tcPr>
          <w:p>
            <w:r>
              <w:t>Integration Process</w:t>
            </w:r>
          </w:p>
        </w:tc>
        <w:tc>
          <w:tcPr>
            <w:tcW w:type="dxa" w:w="2880"/>
          </w:tcPr>
          <w:p>
            <w:r>
              <w:t>Component Version</w:t>
            </w:r>
          </w:p>
        </w:tc>
        <w:tc>
          <w:tcPr>
            <w:tcW w:type="dxa" w:w="2880"/>
          </w:tcPr>
          <w:p>
            <w:r>
              <w:t>1.2</w:t>
            </w:r>
          </w:p>
        </w:tc>
      </w:tr>
      <w:tr>
        <w:tc>
          <w:tcPr>
            <w:tcW w:type="dxa" w:w="2880"/>
          </w:tcPr>
          <w:p>
            <w:r>
              <w:t>Integration Process</w:t>
            </w:r>
          </w:p>
        </w:tc>
        <w:tc>
          <w:tcPr>
            <w:tcW w:type="dxa" w:w="2880"/>
          </w:tcPr>
          <w:p>
            <w:r>
              <w:t>Cmd Variant Uri</w:t>
            </w:r>
          </w:p>
        </w:tc>
        <w:tc>
          <w:tcPr>
            <w:tcW w:type="dxa" w:w="2880"/>
          </w:tcPr>
          <w:p>
            <w:r>
              <w:t>ctype::FlowElementVariant/cname::IntegrationProcess/version::1.2.1</w:t>
            </w:r>
          </w:p>
        </w:tc>
      </w:tr>
      <w:tr>
        <w:tc>
          <w:tcPr>
            <w:tcW w:type="dxa" w:w="2880"/>
          </w:tcPr>
          <w:p>
            <w:r>
              <w:t>Integration Process</w:t>
            </w:r>
          </w:p>
        </w:tc>
        <w:tc>
          <w:tcPr>
            <w:tcW w:type="dxa" w:w="2880"/>
          </w:tcPr>
          <w:p>
            <w:r>
              <w:t>Transactional Handling</w:t>
            </w:r>
          </w:p>
        </w:tc>
        <w:tc>
          <w:tcPr>
            <w:tcW w:type="dxa" w:w="2880"/>
          </w:tcPr>
          <w:p>
            <w:r>
              <w:t>Not Required</w:t>
            </w:r>
          </w:p>
        </w:tc>
      </w:tr>
    </w:tbl>
    <w:p>
      <w:pPr>
        <w:pStyle w:val="Heading3"/>
      </w:pPr>
      <w:r>
        <w:t>serviceTask Request Reply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Activity Type</w:t>
            </w:r>
          </w:p>
        </w:tc>
        <w:tc>
          <w:tcPr>
            <w:tcW w:type="dxa" w:w="4320"/>
          </w:tcPr>
          <w:p>
            <w:r>
              <w:t>ExternalCall</w:t>
            </w:r>
          </w:p>
        </w:tc>
      </w:tr>
      <w:tr>
        <w:tc>
          <w:tcPr>
            <w:tcW w:type="dxa" w:w="4320"/>
          </w:tcPr>
          <w:p>
            <w:r>
              <w:t>Cmd Variant Uri</w:t>
            </w:r>
          </w:p>
        </w:tc>
        <w:tc>
          <w:tcPr>
            <w:tcW w:type="dxa" w:w="4320"/>
          </w:tcPr>
          <w:p>
            <w:r>
              <w:t>ctype::FlowstepVariant/cname::ExternalCall/version::1.0.4</w:t>
            </w:r>
          </w:p>
        </w:tc>
      </w:tr>
    </w:tbl>
    <w:p>
      <w:pPr>
        <w:pStyle w:val="Heading3"/>
      </w:pPr>
      <w:r>
        <w:t>endEvent End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endEvent End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callActivity Content Modifier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expression</w:t>
            </w:r>
          </w:p>
        </w:tc>
      </w:tr>
      <w:tr>
        <w:tc>
          <w:tcPr>
            <w:tcW w:type="dxa" w:w="4320"/>
          </w:tcPr>
          <w:p>
            <w:r>
              <w:t>Property Table</w:t>
            </w:r>
          </w:p>
        </w:tc>
        <w:tc>
          <w:tcPr>
            <w:tcW w:type="dxa" w:w="4320"/>
          </w:tcPr>
          <w:p>
            <w:r>
              <w:t>&lt;row&gt;&lt;cell id='Action'&gt;Create&lt;/cell&gt;&lt;cell id='Type'&gt;xpath&lt;/cell&gt;&lt;cell id='Value'&gt;//batchChangeSetPart/A_SalesContract//A_SalesContractItemType/Material&lt;/cell&gt;&lt;cell id='Default'&gt;&lt;/cell&gt;&lt;cell id='Name'&gt;Material_Number&lt;/cell&gt;&lt;cell id='Datatype'&gt;java.lang.String&lt;/cell&gt;&lt;/row&gt;</w:t>
            </w:r>
          </w:p>
        </w:tc>
      </w:tr>
      <w:tr>
        <w:tc>
          <w:tcPr>
            <w:tcW w:type="dxa" w:w="4320"/>
          </w:tcPr>
          <w:p>
            <w:r>
              <w:t>Header Table</w:t>
            </w:r>
          </w:p>
        </w:tc>
        <w:tc>
          <w:tcPr>
            <w:tcW w:type="dxa" w:w="4320"/>
          </w:tcPr>
          <w:p>
            <w:r/>
          </w:p>
        </w:tc>
      </w:tr>
      <w:tr>
        <w:tc>
          <w:tcPr>
            <w:tcW w:type="dxa" w:w="4320"/>
          </w:tcPr>
          <w:p>
            <w:r>
              <w:t>Wrap Content</w:t>
            </w:r>
          </w:p>
        </w:tc>
        <w:tc>
          <w:tcPr>
            <w:tcW w:type="dxa" w:w="4320"/>
          </w:tcPr>
          <w:p>
            <w:r>
              <w:t>Order is not created Sucessfully ${header.Mat2}.</w:t>
              <w:br/>
              <w:t>Order is not created Sucessfully ${header.Mat2}.</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p>
        </w:tc>
      </w:tr>
      <w:tr>
        <w:tc>
          <w:tcPr>
            <w:tcW w:type="dxa" w:w="4320"/>
          </w:tcPr>
          <w:p>
            <w:r>
              <w:t>Wrap Content</w:t>
            </w:r>
          </w:p>
        </w:tc>
        <w:tc>
          <w:tcPr>
            <w:tcW w:type="dxa" w:w="4320"/>
          </w:tcPr>
          <w:p>
            <w:r>
              <w:t>&lt;ROOT&gt;</w:t>
              <w:br/>
              <w:t xml:space="preserve">  &lt;select_response&gt;</w:t>
              <w:br/>
              <w:t xml:space="preserve">    &lt;row&gt;</w:t>
              <w:br/>
              <w:t xml:space="preserve">      &lt;BULK_ORDER_NO&gt;16101702&lt;/BULK_ORDER_NO&gt;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&lt;BULK_ORDER_NO&gt;16101701&lt;/BULK_ORDER_NO&gt;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&lt;BULK_ORDER_NO&gt;16101703&lt;/BULK_ORDER_NO&gt;</w:t>
              <w:br/>
              <w:t xml:space="preserve">      &lt;BULKTYPE/&gt;</w:t>
              <w:br/>
              <w:t xml:space="preserve">      &lt;START_DATE&gt;2017-10-16T00:00:00&lt;/START_DATE&gt;</w:t>
              <w:br/>
              <w:t xml:space="preserve">      &lt;LASTEDTDT&gt;2018-10-16T00:00:00&lt;/LASTEDTDT&gt;</w:t>
              <w:br/>
              <w:t xml:space="preserve">      &lt;SAP_MATERIAL_ID&gt;INVALID_MAT&lt;/SAP_MATERIAL_ID&gt;</w:t>
              <w:br/>
              <w:t xml:space="preserve">      &lt;ORDER_QTY&gt;-5&lt;/ORDER_QTY&gt;</w:t>
              <w:br/>
              <w:t xml:space="preserve">      &lt;UOM&gt;ZZ&lt;/UOM&gt;</w:t>
              <w:br/>
              <w:t xml:space="preserve">      &lt;CURRENCY&gt;XXX&lt;/CURRENCY&gt;</w:t>
              <w:br/>
              <w:t xml:space="preserve">      &lt;SOLDTO&gt;00000000&lt;/SOLDTO&gt;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&lt;/select_response&gt;</w:t>
              <w:br/>
              <w:t>&lt;/ROOT&gt;</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3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t>&lt;row&gt;&lt;cell id='Action'&gt;Create&lt;/cell&gt;&lt;cell id='Type'&gt;xpath&lt;/cell&gt;&lt;cell id='Value'&gt;//A_SalesContractItemType/Material&lt;/cell&gt;&lt;cell id='Default'&gt;&lt;/cell&gt;&lt;cell id='Name'&gt;Mat2&lt;/cell&gt;&lt;cell id='Datatype'&gt;java.lang.String&lt;/cell&gt;&lt;/row&gt;</w:t>
            </w:r>
          </w:p>
        </w:tc>
      </w:tr>
      <w:tr>
        <w:tc>
          <w:tcPr>
            <w:tcW w:type="dxa" w:w="4320"/>
          </w:tcPr>
          <w:p>
            <w:r>
              <w:t>Wrap Content</w:t>
            </w:r>
          </w:p>
        </w:tc>
        <w:tc>
          <w:tcPr>
            <w:tcW w:type="dxa" w:w="4320"/>
          </w:tcPr>
          <w:p>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exclusiveGateway Router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Activity Type</w:t>
            </w:r>
          </w:p>
        </w:tc>
        <w:tc>
          <w:tcPr>
            <w:tcW w:type="dxa" w:w="4320"/>
          </w:tcPr>
          <w:p>
            <w:r>
              <w:t>ExclusiveGateway</w:t>
            </w:r>
          </w:p>
        </w:tc>
      </w:tr>
      <w:tr>
        <w:tc>
          <w:tcPr>
            <w:tcW w:type="dxa" w:w="4320"/>
          </w:tcPr>
          <w:p>
            <w:r>
              <w:t>Cmd Variant Uri</w:t>
            </w:r>
          </w:p>
        </w:tc>
        <w:tc>
          <w:tcPr>
            <w:tcW w:type="dxa" w:w="4320"/>
          </w:tcPr>
          <w:p>
            <w:r>
              <w:t>ctype::FlowstepVariant/cname::ExclusiveGateway/version::1.1.2</w:t>
            </w:r>
          </w:p>
        </w:tc>
      </w:tr>
      <w:tr>
        <w:tc>
          <w:tcPr>
            <w:tcW w:type="dxa" w:w="4320"/>
          </w:tcPr>
          <w:p>
            <w:r>
              <w:t>Throw Exception</w:t>
            </w:r>
          </w:p>
        </w:tc>
        <w:tc>
          <w:tcPr>
            <w:tcW w:type="dxa" w:w="4320"/>
          </w:tcPr>
          <w:p>
            <w:r>
              <w:t>false</w:t>
            </w:r>
          </w:p>
        </w:tc>
      </w:tr>
    </w:tbl>
    <w:p>
      <w:pPr>
        <w:pStyle w:val="Heading3"/>
      </w:pPr>
      <w:r>
        <w:t>startEvent Start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ctype::FlowstepVariant/cname::MessageStartEvent/version::1.0</w:t>
            </w:r>
          </w:p>
        </w:tc>
      </w:tr>
    </w:tbl>
    <w:p>
      <w:pPr>
        <w:pStyle w:val="Heading3"/>
      </w:pPr>
      <w:r>
        <w:t>callActivity General Splitter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 Type</w:t>
            </w:r>
          </w:p>
        </w:tc>
        <w:tc>
          <w:tcPr>
            <w:tcW w:type="dxa" w:w="4320"/>
          </w:tcPr>
          <w:p>
            <w:r>
              <w:t>XPath</w:t>
            </w:r>
          </w:p>
        </w:tc>
      </w:tr>
      <w:tr>
        <w:tc>
          <w:tcPr>
            <w:tcW w:type="dxa" w:w="4320"/>
          </w:tcPr>
          <w:p>
            <w:r>
              <w:t>Streaming</w:t>
            </w:r>
          </w:p>
        </w:tc>
        <w:tc>
          <w:tcPr>
            <w:tcW w:type="dxa" w:w="4320"/>
          </w:tcPr>
          <w:p>
            <w:r>
              <w:t>true</w:t>
            </w:r>
          </w:p>
        </w:tc>
      </w:tr>
      <w:tr>
        <w:tc>
          <w:tcPr>
            <w:tcW w:type="dxa" w:w="4320"/>
          </w:tcPr>
          <w:p>
            <w:r>
              <w:t>Stop On Execution</w:t>
            </w:r>
          </w:p>
        </w:tc>
        <w:tc>
          <w:tcPr>
            <w:tcW w:type="dxa" w:w="4320"/>
          </w:tcPr>
          <w:p>
            <w:r>
              <w:t>true</w:t>
            </w:r>
          </w:p>
        </w:tc>
      </w:tr>
      <w:tr>
        <w:tc>
          <w:tcPr>
            <w:tcW w:type="dxa" w:w="4320"/>
          </w:tcPr>
          <w:p>
            <w:r>
              <w:t>Splitter Threads</w:t>
            </w:r>
          </w:p>
        </w:tc>
        <w:tc>
          <w:tcPr>
            <w:tcW w:type="dxa" w:w="4320"/>
          </w:tcPr>
          <w:p>
            <w:r>
              <w:t>10</w:t>
            </w:r>
          </w:p>
        </w:tc>
      </w:tr>
      <w:tr>
        <w:tc>
          <w:tcPr>
            <w:tcW w:type="dxa" w:w="4320"/>
          </w:tcPr>
          <w:p>
            <w:r>
              <w:t>Split Expr Value</w:t>
            </w:r>
          </w:p>
        </w:tc>
        <w:tc>
          <w:tcPr>
            <w:tcW w:type="dxa" w:w="4320"/>
          </w:tcPr>
          <w:p>
            <w:r>
              <w:t>/batchPartResponse/batchChangeSetResponse/batchChangeSetPartResponse</w:t>
            </w:r>
          </w:p>
        </w:tc>
      </w:tr>
      <w:tr>
        <w:tc>
          <w:tcPr>
            <w:tcW w:type="dxa" w:w="4320"/>
          </w:tcPr>
          <w:p>
            <w:r>
              <w:t>Parallel Processing</w:t>
            </w:r>
          </w:p>
        </w:tc>
        <w:tc>
          <w:tcPr>
            <w:tcW w:type="dxa" w:w="4320"/>
          </w:tcPr>
          <w:p>
            <w:r>
              <w:t>false</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Splitter</w:t>
            </w:r>
          </w:p>
        </w:tc>
      </w:tr>
      <w:tr>
        <w:tc>
          <w:tcPr>
            <w:tcW w:type="dxa" w:w="4320"/>
          </w:tcPr>
          <w:p>
            <w:r>
              <w:t>Cmd Variant Uri</w:t>
            </w:r>
          </w:p>
        </w:tc>
        <w:tc>
          <w:tcPr>
            <w:tcW w:type="dxa" w:w="4320"/>
          </w:tcPr>
          <w:p>
            <w:r>
              <w:t>ctype::FlowstepVariant/cname::GeneralSplitter/version::1.6.0</w:t>
            </w:r>
          </w:p>
        </w:tc>
      </w:tr>
      <w:tr>
        <w:tc>
          <w:tcPr>
            <w:tcW w:type="dxa" w:w="4320"/>
          </w:tcPr>
          <w:p>
            <w:r>
              <w:t>Grouping</w:t>
            </w:r>
          </w:p>
        </w:tc>
        <w:tc>
          <w:tcPr>
            <w:tcW w:type="dxa" w:w="4320"/>
          </w:tcPr>
          <w:p>
            <w:r>
              <w:t>1</w:t>
            </w:r>
          </w:p>
        </w:tc>
      </w:tr>
      <w:tr>
        <w:tc>
          <w:tcPr>
            <w:tcW w:type="dxa" w:w="4320"/>
          </w:tcPr>
          <w:p>
            <w:r>
              <w:t>Split Type</w:t>
            </w:r>
          </w:p>
        </w:tc>
        <w:tc>
          <w:tcPr>
            <w:tcW w:type="dxa" w:w="4320"/>
          </w:tcPr>
          <w:p>
            <w:r>
              <w:t>GeneralSplitter</w:t>
            </w:r>
          </w:p>
        </w:tc>
      </w:tr>
      <w:tr>
        <w:tc>
          <w:tcPr>
            <w:tcW w:type="dxa" w:w="4320"/>
          </w:tcPr>
          <w:p>
            <w:r>
              <w:t>Time Out</w:t>
            </w:r>
          </w:p>
        </w:tc>
        <w:tc>
          <w:tcPr>
            <w:tcW w:type="dxa" w:w="4320"/>
          </w:tcPr>
          <w:p>
            <w:r>
              <w:t>300</w:t>
            </w:r>
          </w:p>
        </w:tc>
      </w:tr>
    </w:tbl>
    <w:p>
      <w:pPr>
        <w:pStyle w:val="Heading3"/>
      </w:pPr>
      <w:r>
        <w:t>callActivity Message Mapping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 Source Value</w:t>
            </w:r>
          </w:p>
        </w:tc>
        <w:tc>
          <w:tcPr>
            <w:tcW w:type="dxa" w:w="4320"/>
          </w:tcPr>
          <w:p>
            <w:r/>
          </w:p>
        </w:tc>
      </w:tr>
      <w:tr>
        <w:tc>
          <w:tcPr>
            <w:tcW w:type="dxa" w:w="4320"/>
          </w:tcPr>
          <w:p>
            <w:r>
              <w:t>Mapping Type</w:t>
            </w:r>
          </w:p>
        </w:tc>
        <w:tc>
          <w:tcPr>
            <w:tcW w:type="dxa" w:w="4320"/>
          </w:tcPr>
          <w:p>
            <w:r>
              <w:t>MessageMapping</w:t>
            </w:r>
          </w:p>
        </w:tc>
      </w:tr>
      <w:tr>
        <w:tc>
          <w:tcPr>
            <w:tcW w:type="dxa" w:w="4320"/>
          </w:tcPr>
          <w:p>
            <w:r>
              <w:t>Mapping 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 Version</w:t>
            </w:r>
          </w:p>
        </w:tc>
        <w:tc>
          <w:tcPr>
            <w:tcW w:type="dxa" w:w="4320"/>
          </w:tcPr>
          <w:p>
            <w:r>
              <w:t>1.3</w:t>
            </w:r>
          </w:p>
        </w:tc>
      </w:tr>
      <w:tr>
        <w:tc>
          <w:tcPr>
            <w:tcW w:type="dxa" w:w="4320"/>
          </w:tcPr>
          <w:p>
            <w:r>
              <w:t>Activity Type</w:t>
            </w:r>
          </w:p>
        </w:tc>
        <w:tc>
          <w:tcPr>
            <w:tcW w:type="dxa" w:w="4320"/>
          </w:tcPr>
          <w:p>
            <w:r>
              <w:t>Mapping</w:t>
            </w:r>
          </w:p>
        </w:tc>
      </w:tr>
      <w:tr>
        <w:tc>
          <w:tcPr>
            <w:tcW w:type="dxa" w:w="4320"/>
          </w:tcPr>
          <w:p>
            <w:r>
              <w:t>Cmd Variant Uri</w:t>
            </w:r>
          </w:p>
        </w:tc>
        <w:tc>
          <w:tcPr>
            <w:tcW w:type="dxa" w:w="4320"/>
          </w:tcPr>
          <w:p>
            <w:r>
              <w:t>ctype::FlowstepVariant/cname::MessageMapping/version::1.3.1</w:t>
            </w:r>
          </w:p>
        </w:tc>
      </w:tr>
      <w:tr>
        <w:tc>
          <w:tcPr>
            <w:tcW w:type="dxa" w:w="4320"/>
          </w:tcPr>
          <w:p>
            <w:r>
              <w:t>Message Mapping Bundle Id</w:t>
            </w:r>
          </w:p>
        </w:tc>
        <w:tc>
          <w:tcPr>
            <w:tcW w:type="dxa" w:w="4320"/>
          </w:tcPr>
          <w:p>
            <w:r/>
          </w:p>
        </w:tc>
      </w:tr>
    </w:tbl>
    <w:p>
      <w:pPr>
        <w:pStyle w:val="Heading3"/>
      </w:pPr>
      <w:r>
        <w:t>callActivity Write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Visibility</w:t>
            </w:r>
          </w:p>
        </w:tc>
        <w:tc>
          <w:tcPr>
            <w:tcW w:type="dxa" w:w="4320"/>
          </w:tcPr>
          <w:p>
            <w:r>
              <w:t>global</w:t>
            </w:r>
          </w:p>
        </w:tc>
      </w:tr>
      <w:tr>
        <w:tc>
          <w:tcPr>
            <w:tcW w:type="dxa" w:w="4320"/>
          </w:tcPr>
          <w:p>
            <w:r>
              <w:t>Alert</w:t>
            </w:r>
          </w:p>
        </w:tc>
        <w:tc>
          <w:tcPr>
            <w:tcW w:type="dxa" w:w="4320"/>
          </w:tcPr>
          <w:p>
            <w:r>
              <w:t>2</w:t>
            </w:r>
          </w:p>
        </w:tc>
      </w:tr>
      <w:tr>
        <w:tc>
          <w:tcPr>
            <w:tcW w:type="dxa" w:w="4320"/>
          </w:tcPr>
          <w:p>
            <w:r>
              <w:t>Encrypt</w:t>
            </w:r>
          </w:p>
        </w:tc>
        <w:tc>
          <w:tcPr>
            <w:tcW w:type="dxa" w:w="4320"/>
          </w:tcPr>
          <w:p>
            <w:r>
              <w:t>true</w:t>
            </w:r>
          </w:p>
        </w:tc>
      </w:tr>
      <w:tr>
        <w:tc>
          <w:tcPr>
            <w:tcW w:type="dxa" w:w="4320"/>
          </w:tcPr>
          <w:p>
            <w:r>
              <w:t>Expire</w:t>
            </w:r>
          </w:p>
        </w:tc>
        <w:tc>
          <w:tcPr>
            <w:tcW w:type="dxa" w:w="4320"/>
          </w:tcPr>
          <w:p>
            <w:r>
              <w:t>30</w:t>
            </w:r>
          </w:p>
        </w:tc>
      </w:tr>
      <w:tr>
        <w:tc>
          <w:tcPr>
            <w:tcW w:type="dxa" w:w="4320"/>
          </w:tcPr>
          <w:p>
            <w:r>
              <w:t>Message Id</w:t>
            </w:r>
          </w:p>
        </w:tc>
        <w:tc>
          <w:tcPr>
            <w:tcW w:type="dxa" w:w="4320"/>
          </w:tcPr>
          <w:p>
            <w:r>
              <w:t>Post_BO_SV</w:t>
            </w:r>
          </w:p>
        </w:tc>
      </w:tr>
      <w:tr>
        <w:tc>
          <w:tcPr>
            <w:tcW w:type="dxa" w:w="4320"/>
          </w:tcPr>
          <w:p>
            <w:r>
              <w:t>Component Version</w:t>
            </w:r>
          </w:p>
        </w:tc>
        <w:tc>
          <w:tcPr>
            <w:tcW w:type="dxa" w:w="4320"/>
          </w:tcPr>
          <w:p>
            <w:r>
              <w:t>1.7</w:t>
            </w:r>
          </w:p>
        </w:tc>
      </w:tr>
      <w:tr>
        <w:tc>
          <w:tcPr>
            <w:tcW w:type="dxa" w:w="4320"/>
          </w:tcPr>
          <w:p>
            <w:r>
              <w:t>Override</w:t>
            </w:r>
          </w:p>
        </w:tc>
        <w:tc>
          <w:tcPr>
            <w:tcW w:type="dxa" w:w="4320"/>
          </w:tcPr>
          <w:p>
            <w:r>
              <w:t>true</w:t>
            </w:r>
          </w:p>
        </w:tc>
      </w:tr>
      <w:tr>
        <w:tc>
          <w:tcPr>
            <w:tcW w:type="dxa" w:w="4320"/>
          </w:tcPr>
          <w:p>
            <w:r>
              <w:t>Activity Type</w:t>
            </w:r>
          </w:p>
        </w:tc>
        <w:tc>
          <w:tcPr>
            <w:tcW w:type="dxa" w:w="4320"/>
          </w:tcPr>
          <w:p>
            <w:r>
              <w:t>DBstorage</w:t>
            </w:r>
          </w:p>
        </w:tc>
      </w:tr>
      <w:tr>
        <w:tc>
          <w:tcPr>
            <w:tcW w:type="dxa" w:w="4320"/>
          </w:tcPr>
          <w:p>
            <w:r>
              <w:t>Cmd Variant Uri</w:t>
            </w:r>
          </w:p>
        </w:tc>
        <w:tc>
          <w:tcPr>
            <w:tcW w:type="dxa" w:w="4320"/>
          </w:tcPr>
          <w:p>
            <w:r>
              <w:t>ctype::FlowstepVariant/cname::put/version::1.7.1</w:t>
            </w:r>
          </w:p>
        </w:tc>
      </w:tr>
      <w:tr>
        <w:tc>
          <w:tcPr>
            <w:tcW w:type="dxa" w:w="4320"/>
          </w:tcPr>
          <w:p>
            <w:r>
              <w:t>Operation</w:t>
            </w:r>
          </w:p>
        </w:tc>
        <w:tc>
          <w:tcPr>
            <w:tcW w:type="dxa" w:w="4320"/>
          </w:tcPr>
          <w:p>
            <w:r>
              <w:t>put</w:t>
            </w:r>
          </w:p>
        </w:tc>
      </w:tr>
      <w:tr>
        <w:tc>
          <w:tcPr>
            <w:tcW w:type="dxa" w:w="4320"/>
          </w:tcPr>
          <w:p>
            <w:r>
              <w:t>Storage Name</w:t>
            </w:r>
          </w:p>
        </w:tc>
        <w:tc>
          <w:tcPr>
            <w:tcW w:type="dxa" w:w="4320"/>
          </w:tcPr>
          <w:p>
            <w:r>
              <w:t>Post_BO_SV</w:t>
            </w:r>
          </w:p>
        </w:tc>
      </w:tr>
      <w:tr>
        <w:tc>
          <w:tcPr>
            <w:tcW w:type="dxa" w:w="4320"/>
          </w:tcPr>
          <w:p>
            <w:r>
              <w:t>Include Message Headers</w:t>
            </w:r>
          </w:p>
        </w:tc>
        <w:tc>
          <w:tcPr>
            <w:tcW w:type="dxa" w:w="4320"/>
          </w:tcPr>
          <w:p>
            <w:r>
              <w:t>false</w:t>
            </w:r>
          </w:p>
        </w:tc>
      </w:tr>
    </w:tbl>
    <w:p>
      <w:pPr>
        <w:pStyle w:val="Heading3"/>
      </w:pPr>
      <w:r>
        <w:t>sequenceFlow Route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3"/>
      </w:pPr>
      <w:r>
        <w:t>sequenceFlow Route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2"/>
      </w:pPr>
      <w:r>
        <w:t xml:space="preserve">5.2. Local Integration Process </w:t>
      </w:r>
    </w:p>
    <w:p>
      <w:r>
        <w:rPr>
          <w:b w:val="0"/>
          <w:i w:val="0"/>
          <w:sz w:val="24"/>
        </w:rPr>
        <w:t>```xml</w:t>
        <w:br/>
        <w:t>&lt;?xml version="1.0" encoding="UTF-8"?&gt;</w:t>
        <w:br/>
        <w:t>&lt;MainIntegrationProcess id="Process_1" name="MyIntegrationProcess"&gt;</w:t>
        <w:br/>
        <w:t xml:space="preserve">    &lt;StartEvent id="StartEvent_1"/&gt;</w:t>
        <w:br/>
        <w:t xml:space="preserve">    &lt;SequenceFlow id="SequenceFlow_1" sourceRef="StartEvent_1" targetRef="ContentModifier_1"/&gt;</w:t>
        <w:br/>
        <w:t xml:space="preserve">    &lt;ContentModifier id="ContentModifier_1" name="Set Message Header"&gt;</w:t>
        <w:br/>
        <w:t xml:space="preserve">        &lt;property name="headerName" value="MyHeader"/&gt;</w:t>
        <w:br/>
        <w:t xml:space="preserve">        &lt;property name="headerValue" value="MyValue"/&gt;</w:t>
        <w:br/>
        <w:t xml:space="preserve">    &lt;/ContentModifier&gt;</w:t>
        <w:br/>
        <w:t xml:space="preserve">    &lt;SequenceFlow id="SequenceFlow_2" sourceRef="ContentModifier_1" targetRef="RequestReply_1"/&gt;</w:t>
        <w:br/>
        <w:t xml:space="preserve">    &lt;RequestReply id="RequestReply_1" name="Call External Service"&gt;</w:t>
        <w:br/>
        <w:t xml:space="preserve">        &lt;participant processRef="Process_2"/&gt;</w:t>
        <w:br/>
        <w:t xml:space="preserve">    &lt;/RequestReply&gt;</w:t>
        <w:br/>
        <w:t xml:space="preserve">    &lt;SequenceFlow id="SequenceFlow_3" sourceRef="RequestReply_1" targetRef="EndEvent_1"/&gt;</w:t>
        <w:br/>
        <w:t xml:space="preserve">    &lt;EndEvent id="EndEvent_1"/&gt;</w:t>
        <w:br/>
        <w:t>&lt;/MainIntegrationProcess&gt;</w:t>
        <w:br/>
        <w:t>```</w:t>
        <w:br/>
        <w:t>Here's a summary:</w:t>
        <w:br/>
        <w:br/>
        <w:t>The main integration process, named "MyIntegrationProcess" (Process_1), begins with a Start Event.  It then flows to a Content Modifier ("Set Message Header") which sets a header named "MyHeader" to the value "MyValue."  Next, a Request-Reply step ("Call External Service") synchronously invokes another integration process (Process_2). Finally, the iFlow concludes with an End Event after the reply is received. The entire process utilizes sequence flows to connect each step in a linear fashion.</w:t>
        <w:br/>
      </w:r>
    </w:p>
    <w:p>
      <w:r>
        <w:rPr>
          <w:b w:val="0"/>
          <w:i w:val="0"/>
          <w:sz w:val="24"/>
        </w:rPr>
        <w:t>No process with id='Process_1' found.</w:t>
      </w:r>
    </w:p>
    <w:p>
      <w:pPr>
        <w:pStyle w:val="Heading2"/>
      </w:pPr>
      <w:r>
        <w:t>5.3. Sender</w:t>
      </w:r>
    </w:p>
    <w:p>
      <w:r>
        <w:rPr>
          <w:b w:val="0"/>
          <w:i w:val="0"/>
          <w:sz w:val="24"/>
        </w:rPr>
        <w:t>The sender system for this SAP iFlow endpoint is identified as "Sender." It utilizes the HTTPS protocol for communication and employs role-based authentication ("RoleBased"). Key configuration parameters include a URL path of "/post_bulk/order_sv" and a maximum body size of 40 (likely KB, MB, or GB depending on context). XSRF protection is disabled ("Xsrf Protection: 0"), and the required user role for sending messages is "ESBMessaging.send." This endpoint's business role is to receive inbound messages, specifically bulk order requests, over HTTPS after successful authorization against the specified role.</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Type</w:t>
            </w:r>
          </w:p>
        </w:tc>
        <w:tc>
          <w:tcPr>
            <w:tcW w:type="dxa" w:w="4320"/>
          </w:tcPr>
          <w:p>
            <w:r>
              <w:t>HTTPS</w:t>
            </w:r>
          </w:p>
        </w:tc>
      </w:tr>
      <w:tr>
        <w:tc>
          <w:tcPr>
            <w:tcW w:type="dxa" w:w="4320"/>
          </w:tcPr>
          <w:p>
            <w:r>
              <w:t>Description</w:t>
            </w:r>
          </w:p>
        </w:tc>
        <w:tc>
          <w:tcPr>
            <w:tcW w:type="dxa" w:w="4320"/>
          </w:tcPr>
          <w:p>
            <w:r/>
          </w:p>
        </w:tc>
      </w:tr>
      <w:tr>
        <w:tc>
          <w:tcPr>
            <w:tcW w:type="dxa" w:w="4320"/>
          </w:tcPr>
          <w:p>
            <w:r>
              <w:t>Maximum Body Size</w:t>
            </w:r>
          </w:p>
        </w:tc>
        <w:tc>
          <w:tcPr>
            <w:tcW w:type="dxa" w:w="4320"/>
          </w:tcPr>
          <w:p>
            <w:r>
              <w:t>40</w:t>
            </w:r>
          </w:p>
        </w:tc>
      </w:tr>
      <w:tr>
        <w:tc>
          <w:tcPr>
            <w:tcW w:type="dxa" w:w="4320"/>
          </w:tcPr>
          <w:p>
            <w:r>
              <w:t>Component N S</w:t>
            </w:r>
          </w:p>
        </w:tc>
        <w:tc>
          <w:tcPr>
            <w:tcW w:type="dxa" w:w="4320"/>
          </w:tcPr>
          <w:p>
            <w:r>
              <w:t>sap</w:t>
            </w:r>
          </w:p>
        </w:tc>
      </w:tr>
      <w:tr>
        <w:tc>
          <w:tcPr>
            <w:tcW w:type="dxa" w:w="4320"/>
          </w:tcPr>
          <w:p>
            <w:r>
              <w:t>Component Version</w:t>
            </w:r>
          </w:p>
        </w:tc>
        <w:tc>
          <w:tcPr>
            <w:tcW w:type="dxa" w:w="4320"/>
          </w:tcPr>
          <w:p>
            <w:r>
              <w:t>1.5</w:t>
            </w:r>
          </w:p>
        </w:tc>
      </w:tr>
      <w:tr>
        <w:tc>
          <w:tcPr>
            <w:tcW w:type="dxa" w:w="4320"/>
          </w:tcPr>
          <w:p>
            <w:r>
              <w:t>Url Path</w:t>
            </w:r>
          </w:p>
        </w:tc>
        <w:tc>
          <w:tcPr>
            <w:tcW w:type="dxa" w:w="4320"/>
          </w:tcPr>
          <w:p>
            <w:r>
              <w:t>/post_bulk/order_sv</w:t>
            </w:r>
          </w:p>
        </w:tc>
      </w:tr>
      <w:tr>
        <w:tc>
          <w:tcPr>
            <w:tcW w:type="dxa" w:w="4320"/>
          </w:tcPr>
          <w:p>
            <w:r>
              <w:t>Name</w:t>
            </w:r>
          </w:p>
        </w:tc>
        <w:tc>
          <w:tcPr>
            <w:tcW w:type="dxa" w:w="4320"/>
          </w:tcPr>
          <w:p>
            <w:r>
              <w:t>HTTPS</w:t>
            </w:r>
          </w:p>
        </w:tc>
      </w:tr>
      <w:tr>
        <w:tc>
          <w:tcPr>
            <w:tcW w:type="dxa" w:w="4320"/>
          </w:tcPr>
          <w:p>
            <w:r>
              <w:t>Transport Protocol Version</w:t>
            </w:r>
          </w:p>
        </w:tc>
        <w:tc>
          <w:tcPr>
            <w:tcW w:type="dxa" w:w="4320"/>
          </w:tcPr>
          <w:p>
            <w:r>
              <w:t>1.5.2</w:t>
            </w:r>
          </w:p>
        </w:tc>
      </w:tr>
      <w:tr>
        <w:tc>
          <w:tcPr>
            <w:tcW w:type="dxa" w:w="4320"/>
          </w:tcPr>
          <w:p>
            <w:r>
              <w:t>Component S W C V Name</w:t>
            </w:r>
          </w:p>
        </w:tc>
        <w:tc>
          <w:tcPr>
            <w:tcW w:type="dxa" w:w="4320"/>
          </w:tcPr>
          <w:p>
            <w:r>
              <w:t>external</w:t>
            </w:r>
          </w:p>
        </w:tc>
      </w:tr>
      <w:tr>
        <w:tc>
          <w:tcPr>
            <w:tcW w:type="dxa" w:w="4320"/>
          </w:tcPr>
          <w:p>
            <w:r>
              <w:t>System</w:t>
            </w:r>
          </w:p>
        </w:tc>
        <w:tc>
          <w:tcPr>
            <w:tcW w:type="dxa" w:w="4320"/>
          </w:tcPr>
          <w:p>
            <w:r>
              <w:t>Sender</w:t>
            </w:r>
          </w:p>
        </w:tc>
      </w:tr>
      <w:tr>
        <w:tc>
          <w:tcPr>
            <w:tcW w:type="dxa" w:w="4320"/>
          </w:tcPr>
          <w:p>
            <w:r>
              <w:t>Xsrf Protection</w:t>
            </w:r>
          </w:p>
        </w:tc>
        <w:tc>
          <w:tcPr>
            <w:tcW w:type="dxa" w:w="4320"/>
          </w:tcPr>
          <w:p>
            <w:r>
              <w:t>0</w:t>
            </w:r>
          </w:p>
        </w:tc>
      </w:tr>
      <w:tr>
        <w:tc>
          <w:tcPr>
            <w:tcW w:type="dxa" w:w="4320"/>
          </w:tcPr>
          <w:p>
            <w:r>
              <w:t>Transport Protocol</w:t>
            </w:r>
          </w:p>
        </w:tc>
        <w:tc>
          <w:tcPr>
            <w:tcW w:type="dxa" w:w="4320"/>
          </w:tcPr>
          <w:p>
            <w:r>
              <w:t>HTTPS</w:t>
            </w:r>
          </w:p>
        </w:tc>
      </w:tr>
      <w:tr>
        <w:tc>
          <w:tcPr>
            <w:tcW w:type="dxa" w:w="4320"/>
          </w:tcPr>
          <w:p>
            <w:r>
              <w:t>Cmd Variant Uri</w:t>
            </w:r>
          </w:p>
        </w:tc>
        <w:tc>
          <w:tcPr>
            <w:tcW w:type="dxa" w:w="4320"/>
          </w:tcPr>
          <w:p>
            <w:r>
              <w:t>ctype::AdapterVariant/cname::sap:HTTPS/tp::HTTPS/mp::None/direction::Sender/version::1.5.2</w:t>
            </w:r>
          </w:p>
        </w:tc>
      </w:tr>
      <w:tr>
        <w:tc>
          <w:tcPr>
            <w:tcW w:type="dxa" w:w="4320"/>
          </w:tcPr>
          <w:p>
            <w:r>
              <w:t>User Role</w:t>
            </w:r>
          </w:p>
        </w:tc>
        <w:tc>
          <w:tcPr>
            <w:tcW w:type="dxa" w:w="4320"/>
          </w:tcPr>
          <w:p>
            <w:r>
              <w:t>ESBMessaging.send</w:t>
            </w:r>
          </w:p>
        </w:tc>
      </w:tr>
      <w:tr>
        <w:tc>
          <w:tcPr>
            <w:tcW w:type="dxa" w:w="4320"/>
          </w:tcPr>
          <w:p>
            <w:r>
              <w:t>Sender Auth Type</w:t>
            </w:r>
          </w:p>
        </w:tc>
        <w:tc>
          <w:tcPr>
            <w:tcW w:type="dxa" w:w="4320"/>
          </w:tcPr>
          <w:p>
            <w:r>
              <w:t>RoleBased</w:t>
            </w:r>
          </w:p>
        </w:tc>
      </w:tr>
      <w:tr>
        <w:tc>
          <w:tcPr>
            <w:tcW w:type="dxa" w:w="4320"/>
          </w:tcPr>
          <w:p>
            <w:r>
              <w:t>Message Protocol</w:t>
            </w:r>
          </w:p>
        </w:tc>
        <w:tc>
          <w:tcPr>
            <w:tcW w:type="dxa" w:w="4320"/>
          </w:tcPr>
          <w:p>
            <w:r>
              <w:t>None</w:t>
            </w:r>
          </w:p>
        </w:tc>
      </w:tr>
      <w:tr>
        <w:tc>
          <w:tcPr>
            <w:tcW w:type="dxa" w:w="4320"/>
          </w:tcPr>
          <w:p>
            <w:r>
              <w:t>Message Protocol Version</w:t>
            </w:r>
          </w:p>
        </w:tc>
        <w:tc>
          <w:tcPr>
            <w:tcW w:type="dxa" w:w="4320"/>
          </w:tcPr>
          <w:p>
            <w:r>
              <w:t>1.5.2</w:t>
            </w:r>
          </w:p>
        </w:tc>
      </w:tr>
      <w:tr>
        <w:tc>
          <w:tcPr>
            <w:tcW w:type="dxa" w:w="4320"/>
          </w:tcPr>
          <w:p>
            <w:r>
              <w:t>Component S W C V Id</w:t>
            </w:r>
          </w:p>
        </w:tc>
        <w:tc>
          <w:tcPr>
            <w:tcW w:type="dxa" w:w="4320"/>
          </w:tcPr>
          <w:p>
            <w:r>
              <w:t>1.5.2</w:t>
            </w:r>
          </w:p>
        </w:tc>
      </w:tr>
      <w:tr>
        <w:tc>
          <w:tcPr>
            <w:tcW w:type="dxa" w:w="4320"/>
          </w:tcPr>
          <w:p>
            <w:r>
              <w:t>Direction</w:t>
            </w:r>
          </w:p>
        </w:tc>
        <w:tc>
          <w:tcPr>
            <w:tcW w:type="dxa" w:w="4320"/>
          </w:tcPr>
          <w:p>
            <w:r>
              <w:t>Sender</w:t>
            </w:r>
          </w:p>
        </w:tc>
      </w:tr>
      <w:tr>
        <w:tc>
          <w:tcPr>
            <w:tcW w:type="dxa" w:w="4320"/>
          </w:tcPr>
          <w:p>
            <w:r>
              <w:t>Client Certificates</w:t>
            </w:r>
          </w:p>
        </w:tc>
        <w:tc>
          <w:tcPr>
            <w:tcW w:type="dxa" w:w="4320"/>
          </w:tcPr>
          <w:p>
            <w:r/>
          </w:p>
        </w:tc>
      </w:tr>
    </w:tbl>
    <w:p>
      <w:pPr>
        <w:pStyle w:val="Heading2"/>
      </w:pPr>
      <w:r>
        <w:t>5.4. Receiver</w:t>
      </w:r>
    </w:p>
    <w:p>
      <w:r>
        <w:rPr>
          <w:b w:val="0"/>
          <w:i w:val="0"/>
          <w:sz w:val="24"/>
        </w:rPr>
        <w:t>The receiver channel is configured as an OData V2 adapter (`sap:HCIOData`) over HTTP targeting the `API_SALES_CONTRACT_SRV` OData service. The adapter uses basic authentication (`UST_S4_Cred` alias for credentials) to connect to `http://sentrydev:44300/sap/opu/odata/sap/API_SALES_CONTRACT_SRV` via SAP Cloud Connector (`sapcc` proxy type) using the `UST-OPTUM-CPI` location ID.  It will attempt to create (POST) data to the `A_SalesContract` resource path. The content type for data exchange is set to `application/atom+xml`. MPL attachments are enabled, and TLS session reuse is set to `true`.</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Description</w:t>
            </w:r>
          </w:p>
        </w:tc>
        <w:tc>
          <w:tcPr>
            <w:tcW w:type="dxa" w:w="4320"/>
          </w:tcPr>
          <w:p>
            <w:r/>
          </w:p>
        </w:tc>
      </w:tr>
      <w:tr>
        <w:tc>
          <w:tcPr>
            <w:tcW w:type="dxa" w:w="4320"/>
          </w:tcPr>
          <w:p>
            <w:r>
              <w:t>Pagination</w:t>
            </w:r>
          </w:p>
        </w:tc>
        <w:tc>
          <w:tcPr>
            <w:tcW w:type="dxa" w:w="4320"/>
          </w:tcPr>
          <w:p>
            <w:r>
              <w:t>0</w:t>
            </w:r>
          </w:p>
        </w:tc>
      </w:tr>
      <w:tr>
        <w:tc>
          <w:tcPr>
            <w:tcW w:type="dxa" w:w="4320"/>
          </w:tcPr>
          <w:p>
            <w:r>
              <w:t>Odata Cert Auth Private Key Alias</w:t>
            </w:r>
          </w:p>
        </w:tc>
        <w:tc>
          <w:tcPr>
            <w:tcW w:type="dxa" w:w="4320"/>
          </w:tcPr>
          <w:p>
            <w:r/>
          </w:p>
        </w:tc>
      </w:tr>
      <w:tr>
        <w:tc>
          <w:tcPr>
            <w:tcW w:type="dxa" w:w="4320"/>
          </w:tcPr>
          <w:p>
            <w:r>
              <w:t>Api Artifact Type</w:t>
            </w:r>
          </w:p>
        </w:tc>
        <w:tc>
          <w:tcPr>
            <w:tcW w:type="dxa" w:w="4320"/>
          </w:tcPr>
          <w:p>
            <w:r/>
          </w:p>
        </w:tc>
      </w:tr>
      <w:tr>
        <w:tc>
          <w:tcPr>
            <w:tcW w:type="dxa" w:w="4320"/>
          </w:tcPr>
          <w:p>
            <w:r>
              <w:t>Provider Auth</w:t>
            </w:r>
          </w:p>
        </w:tc>
        <w:tc>
          <w:tcPr>
            <w:tcW w:type="dxa" w:w="4320"/>
          </w:tcPr>
          <w:p>
            <w:r/>
          </w:p>
        </w:tc>
      </w:tr>
      <w:tr>
        <w:tc>
          <w:tcPr>
            <w:tcW w:type="dxa" w:w="4320"/>
          </w:tcPr>
          <w:p>
            <w:r>
              <w:t>Component N S</w:t>
            </w:r>
          </w:p>
        </w:tc>
        <w:tc>
          <w:tcPr>
            <w:tcW w:type="dxa" w:w="4320"/>
          </w:tcPr>
          <w:p>
            <w:r>
              <w:t>sap</w:t>
            </w:r>
          </w:p>
        </w:tc>
      </w:tr>
      <w:tr>
        <w:tc>
          <w:tcPr>
            <w:tcW w:type="dxa" w:w="4320"/>
          </w:tcPr>
          <w:p>
            <w:r>
              <w:t>Resource Path</w:t>
            </w:r>
          </w:p>
        </w:tc>
        <w:tc>
          <w:tcPr>
            <w:tcW w:type="dxa" w:w="4320"/>
          </w:tcPr>
          <w:p>
            <w:r>
              <w:t>A_SalesContract</w:t>
            </w:r>
          </w:p>
        </w:tc>
      </w:tr>
      <w:tr>
        <w:tc>
          <w:tcPr>
            <w:tcW w:type="dxa" w:w="4320"/>
          </w:tcPr>
          <w:p>
            <w:r>
              <w:t>Custom Query Options</w:t>
            </w:r>
          </w:p>
        </w:tc>
        <w:tc>
          <w:tcPr>
            <w:tcW w:type="dxa" w:w="4320"/>
          </w:tcPr>
          <w:p>
            <w:r/>
          </w:p>
        </w:tc>
      </w:tr>
      <w:tr>
        <w:tc>
          <w:tcPr>
            <w:tcW w:type="dxa" w:w="4320"/>
          </w:tcPr>
          <w:p>
            <w:r>
              <w:t>Metadata Allowed U R I Params</w:t>
            </w:r>
          </w:p>
        </w:tc>
        <w:tc>
          <w:tcPr>
            <w:tcW w:type="dxa" w:w="4320"/>
          </w:tcPr>
          <w:p>
            <w:r/>
          </w:p>
        </w:tc>
      </w:tr>
      <w:tr>
        <w:tc>
          <w:tcPr>
            <w:tcW w:type="dxa" w:w="4320"/>
          </w:tcPr>
          <w:p>
            <w:r>
              <w:t>Name</w:t>
            </w:r>
          </w:p>
        </w:tc>
        <w:tc>
          <w:tcPr>
            <w:tcW w:type="dxa" w:w="4320"/>
          </w:tcPr>
          <w:p>
            <w:r>
              <w:t>OData</w:t>
            </w:r>
          </w:p>
        </w:tc>
      </w:tr>
      <w:tr>
        <w:tc>
          <w:tcPr>
            <w:tcW w:type="dxa" w:w="4320"/>
          </w:tcPr>
          <w:p>
            <w:r>
              <w:t>Internet Proxy Type</w:t>
            </w:r>
          </w:p>
        </w:tc>
        <w:tc>
          <w:tcPr>
            <w:tcW w:type="dxa" w:w="4320"/>
          </w:tcPr>
          <w:p>
            <w:r/>
          </w:p>
        </w:tc>
      </w:tr>
      <w:tr>
        <w:tc>
          <w:tcPr>
            <w:tcW w:type="dxa" w:w="4320"/>
          </w:tcPr>
          <w:p>
            <w:r>
              <w:t>Transport Protocol Version</w:t>
            </w:r>
          </w:p>
        </w:tc>
        <w:tc>
          <w:tcPr>
            <w:tcW w:type="dxa" w:w="4320"/>
          </w:tcPr>
          <w:p>
            <w:r>
              <w:t>1.25.0</w:t>
            </w:r>
          </w:p>
        </w:tc>
      </w:tr>
      <w:tr>
        <w:tc>
          <w:tcPr>
            <w:tcW w:type="dxa" w:w="4320"/>
          </w:tcPr>
          <w:p>
            <w:r>
              <w:t>Proxy Port</w:t>
            </w:r>
          </w:p>
        </w:tc>
        <w:tc>
          <w:tcPr>
            <w:tcW w:type="dxa" w:w="4320"/>
          </w:tcPr>
          <w:p>
            <w:r/>
          </w:p>
        </w:tc>
      </w:tr>
      <w:tr>
        <w:tc>
          <w:tcPr>
            <w:tcW w:type="dxa" w:w="4320"/>
          </w:tcPr>
          <w:p>
            <w:r>
              <w:t>Component S W C V Name</w:t>
            </w:r>
          </w:p>
        </w:tc>
        <w:tc>
          <w:tcPr>
            <w:tcW w:type="dxa" w:w="4320"/>
          </w:tcPr>
          <w:p>
            <w:r>
              <w:t>external</w:t>
            </w:r>
          </w:p>
        </w:tc>
      </w:tr>
      <w:tr>
        <w:tc>
          <w:tcPr>
            <w:tcW w:type="dxa" w:w="4320"/>
          </w:tcPr>
          <w:p>
            <w:r>
              <w:t>Enable M P L Attachments</w:t>
            </w:r>
          </w:p>
        </w:tc>
        <w:tc>
          <w:tcPr>
            <w:tcW w:type="dxa" w:w="4320"/>
          </w:tcPr>
          <w:p>
            <w:r>
              <w:t>true</w:t>
            </w:r>
          </w:p>
        </w:tc>
      </w:tr>
      <w:tr>
        <w:tc>
          <w:tcPr>
            <w:tcW w:type="dxa" w:w="4320"/>
          </w:tcPr>
          <w:p>
            <w:r>
              <w:t>Receive Time Out</w:t>
            </w:r>
          </w:p>
        </w:tc>
        <w:tc>
          <w:tcPr>
            <w:tcW w:type="dxa" w:w="4320"/>
          </w:tcPr>
          <w:p>
            <w:r>
              <w:t>1</w:t>
            </w:r>
          </w:p>
        </w:tc>
      </w:tr>
      <w:tr>
        <w:tc>
          <w:tcPr>
            <w:tcW w:type="dxa" w:w="4320"/>
          </w:tcPr>
          <w:p>
            <w:r>
              <w:t>Alias</w:t>
            </w:r>
          </w:p>
        </w:tc>
        <w:tc>
          <w:tcPr>
            <w:tcW w:type="dxa" w:w="4320"/>
          </w:tcPr>
          <w:p>
            <w:r>
              <w:t>UST_S4_Cred</w:t>
            </w:r>
          </w:p>
        </w:tc>
      </w:tr>
      <w:tr>
        <w:tc>
          <w:tcPr>
            <w:tcW w:type="dxa" w:w="4320"/>
          </w:tcPr>
          <w:p>
            <w:r>
              <w:t>Content Type</w:t>
            </w:r>
          </w:p>
        </w:tc>
        <w:tc>
          <w:tcPr>
            <w:tcW w:type="dxa" w:w="4320"/>
          </w:tcPr>
          <w:p>
            <w:r>
              <w:t>application/atom+xml</w:t>
            </w:r>
          </w:p>
        </w:tc>
      </w:tr>
      <w:tr>
        <w:tc>
          <w:tcPr>
            <w:tcW w:type="dxa" w:w="4320"/>
          </w:tcPr>
          <w:p>
            <w:r>
              <w:t>Component S W C V Id</w:t>
            </w:r>
          </w:p>
        </w:tc>
        <w:tc>
          <w:tcPr>
            <w:tcW w:type="dxa" w:w="4320"/>
          </w:tcPr>
          <w:p>
            <w:r>
              <w:t>1.25.0</w:t>
            </w:r>
          </w:p>
        </w:tc>
      </w:tr>
      <w:tr>
        <w:tc>
          <w:tcPr>
            <w:tcW w:type="dxa" w:w="4320"/>
          </w:tcPr>
          <w:p>
            <w:r>
              <w:t>Provider Name</w:t>
            </w:r>
          </w:p>
        </w:tc>
        <w:tc>
          <w:tcPr>
            <w:tcW w:type="dxa" w:w="4320"/>
          </w:tcPr>
          <w:p>
            <w:r/>
          </w:p>
        </w:tc>
      </w:tr>
      <w:tr>
        <w:tc>
          <w:tcPr>
            <w:tcW w:type="dxa" w:w="4320"/>
          </w:tcPr>
          <w:p>
            <w:r>
              <w:t>Message Protocol</w:t>
            </w:r>
          </w:p>
        </w:tc>
        <w:tc>
          <w:tcPr>
            <w:tcW w:type="dxa" w:w="4320"/>
          </w:tcPr>
          <w:p>
            <w:r>
              <w:t>OData V2</w:t>
            </w:r>
          </w:p>
        </w:tc>
      </w:tr>
      <w:tr>
        <w:tc>
          <w:tcPr>
            <w:tcW w:type="dxa" w:w="4320"/>
          </w:tcPr>
          <w:p>
            <w:r>
              <w:t>Direction</w:t>
            </w:r>
          </w:p>
        </w:tc>
        <w:tc>
          <w:tcPr>
            <w:tcW w:type="dxa" w:w="4320"/>
          </w:tcPr>
          <w:p>
            <w:r>
              <w:t>Receiver</w:t>
            </w:r>
          </w:p>
        </w:tc>
      </w:tr>
      <w:tr>
        <w:tc>
          <w:tcPr>
            <w:tcW w:type="dxa" w:w="4320"/>
          </w:tcPr>
          <w:p>
            <w:r>
              <w:t>Scc Location Id</w:t>
            </w:r>
          </w:p>
        </w:tc>
        <w:tc>
          <w:tcPr>
            <w:tcW w:type="dxa" w:w="4320"/>
          </w:tcPr>
          <w:p>
            <w:r>
              <w:t>UST-OPTUM-CPI</w:t>
            </w:r>
          </w:p>
        </w:tc>
      </w:tr>
      <w:tr>
        <w:tc>
          <w:tcPr>
            <w:tcW w:type="dxa" w:w="4320"/>
          </w:tcPr>
          <w:p>
            <w:r>
              <w:t>Metadata Allowed Headers</w:t>
            </w:r>
          </w:p>
        </w:tc>
        <w:tc>
          <w:tcPr>
            <w:tcW w:type="dxa" w:w="4320"/>
          </w:tcPr>
          <w:p>
            <w:r/>
          </w:p>
        </w:tc>
      </w:tr>
      <w:tr>
        <w:tc>
          <w:tcPr>
            <w:tcW w:type="dxa" w:w="4320"/>
          </w:tcPr>
          <w:p>
            <w:r>
              <w:t>Component Type</w:t>
            </w:r>
          </w:p>
        </w:tc>
        <w:tc>
          <w:tcPr>
            <w:tcW w:type="dxa" w:w="4320"/>
          </w:tcPr>
          <w:p>
            <w:r>
              <w:t>HCIOData</w:t>
            </w:r>
          </w:p>
        </w:tc>
      </w:tr>
      <w:tr>
        <w:tc>
          <w:tcPr>
            <w:tcW w:type="dxa" w:w="4320"/>
          </w:tcPr>
          <w:p>
            <w:r>
              <w:t>Address</w:t>
            </w:r>
          </w:p>
        </w:tc>
        <w:tc>
          <w:tcPr>
            <w:tcW w:type="dxa" w:w="4320"/>
          </w:tcPr>
          <w:p>
            <w:r>
              <w:t>http://sentrydev:44300/sap/opu/odata/sap/API_SALES_CONTRACT_SRV</w:t>
            </w:r>
          </w:p>
        </w:tc>
      </w:tr>
      <w:tr>
        <w:tc>
          <w:tcPr>
            <w:tcW w:type="dxa" w:w="4320"/>
          </w:tcPr>
          <w:p>
            <w:r>
              <w:t>Query Options</w:t>
            </w:r>
          </w:p>
        </w:tc>
        <w:tc>
          <w:tcPr>
            <w:tcW w:type="dxa" w:w="4320"/>
          </w:tcPr>
          <w:p>
            <w:r/>
          </w:p>
        </w:tc>
      </w:tr>
      <w:tr>
        <w:tc>
          <w:tcPr>
            <w:tcW w:type="dxa" w:w="4320"/>
          </w:tcPr>
          <w:p>
            <w:r>
              <w:t>Proxy Type</w:t>
            </w:r>
          </w:p>
        </w:tc>
        <w:tc>
          <w:tcPr>
            <w:tcW w:type="dxa" w:w="4320"/>
          </w:tcPr>
          <w:p>
            <w:r>
              <w:t>sapcc</w:t>
            </w:r>
          </w:p>
        </w:tc>
      </w:tr>
      <w:tr>
        <w:tc>
          <w:tcPr>
            <w:tcW w:type="dxa" w:w="4320"/>
          </w:tcPr>
          <w:p>
            <w:r>
              <w:t>Is C S R F Enabled</w:t>
            </w:r>
          </w:p>
        </w:tc>
        <w:tc>
          <w:tcPr>
            <w:tcW w:type="dxa" w:w="4320"/>
          </w:tcPr>
          <w:p>
            <w:r>
              <w:t>false</w:t>
            </w:r>
          </w:p>
        </w:tc>
      </w:tr>
      <w:tr>
        <w:tc>
          <w:tcPr>
            <w:tcW w:type="dxa" w:w="4320"/>
          </w:tcPr>
          <w:p>
            <w:r>
              <w:t>Component Version</w:t>
            </w:r>
          </w:p>
        </w:tc>
        <w:tc>
          <w:tcPr>
            <w:tcW w:type="dxa" w:w="4320"/>
          </w:tcPr>
          <w:p>
            <w:r>
              <w:t>1.25</w:t>
            </w:r>
          </w:p>
        </w:tc>
      </w:tr>
      <w:tr>
        <w:tc>
          <w:tcPr>
            <w:tcW w:type="dxa" w:w="4320"/>
          </w:tcPr>
          <w:p>
            <w:r>
              <w:t>Proxy Host</w:t>
            </w:r>
          </w:p>
        </w:tc>
        <w:tc>
          <w:tcPr>
            <w:tcW w:type="dxa" w:w="4320"/>
          </w:tcPr>
          <w:p>
            <w:r/>
          </w:p>
        </w:tc>
      </w:tr>
      <w:tr>
        <w:tc>
          <w:tcPr>
            <w:tcW w:type="dxa" w:w="4320"/>
          </w:tcPr>
          <w:p>
            <w:r>
              <w:t>Edmx File Path</w:t>
            </w:r>
          </w:p>
        </w:tc>
        <w:tc>
          <w:tcPr>
            <w:tcW w:type="dxa" w:w="4320"/>
          </w:tcPr>
          <w:p>
            <w:r>
              <w:t>edmx/sentrydev_44300_sap_opu_odata_sap_API_SALES_CONTRACT_SRV.edmx</w:t>
            </w:r>
          </w:p>
        </w:tc>
      </w:tr>
      <w:tr>
        <w:tc>
          <w:tcPr>
            <w:tcW w:type="dxa" w:w="4320"/>
          </w:tcPr>
          <w:p>
            <w:r>
              <w:t>Provider Url</w:t>
            </w:r>
          </w:p>
        </w:tc>
        <w:tc>
          <w:tcPr>
            <w:tcW w:type="dxa" w:w="4320"/>
          </w:tcPr>
          <w:p>
            <w:r/>
          </w:p>
        </w:tc>
      </w:tr>
      <w:tr>
        <w:tc>
          <w:tcPr>
            <w:tcW w:type="dxa" w:w="4320"/>
          </w:tcPr>
          <w:p>
            <w:r>
              <w:t>Enable T L S Session Reuse</w:t>
            </w:r>
          </w:p>
        </w:tc>
        <w:tc>
          <w:tcPr>
            <w:tcW w:type="dxa" w:w="4320"/>
          </w:tcPr>
          <w:p>
            <w:r>
              <w:t>true</w:t>
            </w:r>
          </w:p>
        </w:tc>
      </w:tr>
      <w:tr>
        <w:tc>
          <w:tcPr>
            <w:tcW w:type="dxa" w:w="4320"/>
          </w:tcPr>
          <w:p>
            <w:r>
              <w:t>Odatapagesize</w:t>
            </w:r>
          </w:p>
        </w:tc>
        <w:tc>
          <w:tcPr>
            <w:tcW w:type="dxa" w:w="4320"/>
          </w:tcPr>
          <w:p>
            <w:r/>
          </w:p>
        </w:tc>
      </w:tr>
      <w:tr>
        <w:tc>
          <w:tcPr>
            <w:tcW w:type="dxa" w:w="4320"/>
          </w:tcPr>
          <w:p>
            <w:r>
              <w:t>System</w:t>
            </w:r>
          </w:p>
        </w:tc>
        <w:tc>
          <w:tcPr>
            <w:tcW w:type="dxa" w:w="4320"/>
          </w:tcPr>
          <w:p>
            <w:r>
              <w:t>Receiver1</w:t>
            </w:r>
          </w:p>
        </w:tc>
      </w:tr>
      <w:tr>
        <w:tc>
          <w:tcPr>
            <w:tcW w:type="dxa" w:w="4320"/>
          </w:tcPr>
          <w:p>
            <w:r>
              <w:t>Authentication Method</w:t>
            </w:r>
          </w:p>
        </w:tc>
        <w:tc>
          <w:tcPr>
            <w:tcW w:type="dxa" w:w="4320"/>
          </w:tcPr>
          <w:p>
            <w:r>
              <w:t>Basic</w:t>
            </w:r>
          </w:p>
        </w:tc>
      </w:tr>
      <w:tr>
        <w:tc>
          <w:tcPr>
            <w:tcW w:type="dxa" w:w="4320"/>
          </w:tcPr>
          <w:p>
            <w:r>
              <w:t>Whitelist Response Headers</w:t>
            </w:r>
          </w:p>
        </w:tc>
        <w:tc>
          <w:tcPr>
            <w:tcW w:type="dxa" w:w="4320"/>
          </w:tcPr>
          <w:p>
            <w:r/>
          </w:p>
        </w:tc>
      </w:tr>
      <w:tr>
        <w:tc>
          <w:tcPr>
            <w:tcW w:type="dxa" w:w="4320"/>
          </w:tcPr>
          <w:p>
            <w:r>
              <w:t>Enable Batch Processing</w:t>
            </w:r>
          </w:p>
        </w:tc>
        <w:tc>
          <w:tcPr>
            <w:tcW w:type="dxa" w:w="4320"/>
          </w:tcPr>
          <w:p>
            <w:r>
              <w:t>1</w:t>
            </w:r>
          </w:p>
        </w:tc>
      </w:tr>
      <w:tr>
        <w:tc>
          <w:tcPr>
            <w:tcW w:type="dxa" w:w="4320"/>
          </w:tcPr>
          <w:p>
            <w:r>
              <w:t>Transport Protocol</w:t>
            </w:r>
          </w:p>
        </w:tc>
        <w:tc>
          <w:tcPr>
            <w:tcW w:type="dxa" w:w="4320"/>
          </w:tcPr>
          <w:p>
            <w:r>
              <w:t>HTTP</w:t>
            </w:r>
          </w:p>
        </w:tc>
      </w:tr>
      <w:tr>
        <w:tc>
          <w:tcPr>
            <w:tcW w:type="dxa" w:w="4320"/>
          </w:tcPr>
          <w:p>
            <w:r>
              <w:t>Character Encoding</w:t>
            </w:r>
          </w:p>
        </w:tc>
        <w:tc>
          <w:tcPr>
            <w:tcW w:type="dxa" w:w="4320"/>
          </w:tcPr>
          <w:p>
            <w:r>
              <w:t>none</w:t>
            </w:r>
          </w:p>
        </w:tc>
      </w:tr>
      <w:tr>
        <w:tc>
          <w:tcPr>
            <w:tcW w:type="dxa" w:w="4320"/>
          </w:tcPr>
          <w:p>
            <w:r>
              <w:t>Fields</w:t>
            </w:r>
          </w:p>
        </w:tc>
        <w:tc>
          <w:tcPr>
            <w:tcW w:type="dxa" w:w="4320"/>
          </w:tcPr>
          <w:p>
            <w:r>
              <w:t>SalesContract,SalesContractType,SalesOrganization,DistributionChannel,SalesContractValidityStartDate,SalesContractValidityEndDate,SalesContractValidityPerdUnit,CustomerPurchaseOrderType,OrganizationDivision,SoldToParty,CustomerPurchaseOrderDate,PurchaseOrderByCustomer,to_Item/SalesContractItem,to_Item/SalesContract,to_Item/Material,to_Item/RequestedQuantity</w:t>
            </w:r>
          </w:p>
        </w:tc>
      </w:tr>
      <w:tr>
        <w:tc>
          <w:tcPr>
            <w:tcW w:type="dxa" w:w="4320"/>
          </w:tcPr>
          <w:p>
            <w:r>
              <w:t>Cmd Variant Uri</w:t>
            </w:r>
          </w:p>
        </w:tc>
        <w:tc>
          <w:tcPr>
            <w:tcW w:type="dxa" w:w="4320"/>
          </w:tcPr>
          <w:p>
            <w:r>
              <w:t>ctype::AdapterVariant/cname::sap:HCIOData/tp::HTTP/mp::OData V2/direction::Receiver/version::1.25.0</w:t>
            </w:r>
          </w:p>
        </w:tc>
      </w:tr>
      <w:tr>
        <w:tc>
          <w:tcPr>
            <w:tcW w:type="dxa" w:w="4320"/>
          </w:tcPr>
          <w:p>
            <w:r>
              <w:t>Whitelist Request Headers</w:t>
            </w:r>
          </w:p>
        </w:tc>
        <w:tc>
          <w:tcPr>
            <w:tcW w:type="dxa" w:w="4320"/>
          </w:tcPr>
          <w:p>
            <w:r/>
          </w:p>
        </w:tc>
      </w:tr>
      <w:tr>
        <w:tc>
          <w:tcPr>
            <w:tcW w:type="dxa" w:w="4320"/>
          </w:tcPr>
          <w:p>
            <w:r>
              <w:t>Operation</w:t>
            </w:r>
          </w:p>
        </w:tc>
        <w:tc>
          <w:tcPr>
            <w:tcW w:type="dxa" w:w="4320"/>
          </w:tcPr>
          <w:p>
            <w:r>
              <w:t>Create(POST)</w:t>
            </w:r>
          </w:p>
        </w:tc>
      </w:tr>
      <w:tr>
        <w:tc>
          <w:tcPr>
            <w:tcW w:type="dxa" w:w="4320"/>
          </w:tcPr>
          <w:p>
            <w:r>
              <w:t>Message Protocol Version</w:t>
            </w:r>
          </w:p>
        </w:tc>
        <w:tc>
          <w:tcPr>
            <w:tcW w:type="dxa" w:w="4320"/>
          </w:tcPr>
          <w:p>
            <w:r>
              <w:t>1.25.0</w:t>
            </w:r>
          </w:p>
        </w:tc>
      </w:tr>
      <w:tr>
        <w:tc>
          <w:tcPr>
            <w:tcW w:type="dxa" w:w="4320"/>
          </w:tcPr>
          <w:p>
            <w:r>
              <w:t>Provider Relative Url</w:t>
            </w:r>
          </w:p>
        </w:tc>
        <w:tc>
          <w:tcPr>
            <w:tcW w:type="dxa" w:w="4320"/>
          </w:tcPr>
          <w:p>
            <w:r/>
          </w:p>
        </w:tc>
      </w:tr>
    </w:tbl>
    <w:p>
      <w:pPr>
        <w:pStyle w:val="Heading2"/>
      </w:pPr>
      <w:r>
        <w:t>5.5. Mappings</w:t>
      </w:r>
    </w:p>
    <w:p>
      <w:r>
        <w:rPr>
          <w:b w:val="0"/>
          <w:i w:val="0"/>
          <w:sz w:val="24"/>
        </w:rPr>
        <w:t>This iFlow's Mappings section contains a single Mapping Activity (id: 1). This activity executes a Message Mapping named "Bulk2," located at `dir://mmap/src/main/resources/mapping/Bulk2.mmap`. The mapping is a static reference, indicating it's directly included in the iFlow. No specific source value is defined within the Mapping Activity configuration itself, implying the mapping consumes the incoming message directly. The mapping is of type 'MessageMapping' and uses component version 1.3. The mapping execution is handled by the MessageMapping flowstep variant (version 1.3.1).</w:t>
        <w:br/>
      </w:r>
    </w:p>
    <w:p>
      <w:pPr>
        <w:pStyle w:val="Heading3"/>
      </w:pPr>
      <w:r>
        <w:t>Mapping Activity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mappingSourceValue</w:t>
            </w:r>
          </w:p>
        </w:tc>
        <w:tc>
          <w:tcPr>
            <w:tcW w:type="dxa" w:w="4320"/>
          </w:tcPr>
          <w:p>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componentVersion</w:t>
            </w:r>
          </w:p>
        </w:tc>
        <w:tc>
          <w:tcPr>
            <w:tcW w:type="dxa" w:w="4320"/>
          </w:tcPr>
          <w:p>
            <w:r>
              <w:t>1.3</w:t>
            </w:r>
          </w:p>
        </w:tc>
      </w:tr>
      <w:tr>
        <w:tc>
          <w:tcPr>
            <w:tcW w:type="dxa" w:w="4320"/>
          </w:tcPr>
          <w:p>
            <w:r>
              <w:t>activityType</w:t>
            </w:r>
          </w:p>
        </w:tc>
        <w:tc>
          <w:tcPr>
            <w:tcW w:type="dxa" w:w="4320"/>
          </w:tcPr>
          <w:p>
            <w:r>
              <w:t>Mapping</w:t>
            </w:r>
          </w:p>
        </w:tc>
      </w:tr>
      <w:tr>
        <w:tc>
          <w:tcPr>
            <w:tcW w:type="dxa" w:w="4320"/>
          </w:tcPr>
          <w:p>
            <w:r>
              <w:t>cmdVariantUri</w:t>
            </w:r>
          </w:p>
        </w:tc>
        <w:tc>
          <w:tcPr>
            <w:tcW w:type="dxa" w:w="4320"/>
          </w:tcPr>
          <w:p>
            <w:r>
              <w:t>ctype::FlowstepVariant/cname::MessageMapping/version::1.3.1</w:t>
            </w:r>
          </w:p>
        </w:tc>
      </w:tr>
      <w:tr>
        <w:tc>
          <w:tcPr>
            <w:tcW w:type="dxa" w:w="4320"/>
          </w:tcPr>
          <w:p>
            <w:r>
              <w:t>messageMappingBundleId</w:t>
            </w:r>
          </w:p>
        </w:tc>
        <w:tc>
          <w:tcPr>
            <w:tcW w:type="dxa" w:w="4320"/>
          </w:tcPr>
          <w:p>
            <w:r/>
          </w:p>
        </w:tc>
      </w:tr>
    </w:tbl>
    <w:p>
      <w:pPr>
        <w:pStyle w:val="Heading2"/>
      </w:pPr>
      <w:r>
        <w:t>5.6. Security</w:t>
      </w:r>
    </w:p>
    <w:p>
      <w:r>
        <w:rPr>
          <w:b w:val="0"/>
          <w:i w:val="0"/>
          <w:sz w:val="24"/>
        </w:rPr>
        <w:t>The iFlow collaboration defines security-related properties and participants.  HTTPS session handling is disabled. CORS is disabled. The integration flow logs all events.  The sender endpoint utilizes HTTPS and RoleBased authentication, requiring the `ESBMessaging.send` role, while basic authentication is disabled and XSRF protection is off. The receiver endpoint receives OData V2 messages over HTTP with basic authentication, proxy via SAP Cloud Connector, and enable TLS session reuse.</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Namespace Mapping</w:t>
            </w:r>
          </w:p>
        </w:tc>
        <w:tc>
          <w:tcPr>
            <w:tcW w:type="dxa" w:w="4320"/>
          </w:tcPr>
          <w:p>
            <w:r/>
          </w:p>
        </w:tc>
      </w:tr>
      <w:tr>
        <w:tc>
          <w:tcPr>
            <w:tcW w:type="dxa" w:w="4320"/>
          </w:tcPr>
          <w:p>
            <w:r>
              <w:t>Http Session Handling</w:t>
            </w:r>
          </w:p>
        </w:tc>
        <w:tc>
          <w:tcPr>
            <w:tcW w:type="dxa" w:w="4320"/>
          </w:tcPr>
          <w:p>
            <w:r>
              <w:t>None</w:t>
            </w:r>
          </w:p>
        </w:tc>
      </w:tr>
      <w:tr>
        <w:tc>
          <w:tcPr>
            <w:tcW w:type="dxa" w:w="4320"/>
          </w:tcPr>
          <w:p>
            <w:r>
              <w:t>Access Control Max Age</w:t>
            </w:r>
          </w:p>
        </w:tc>
        <w:tc>
          <w:tcPr>
            <w:tcW w:type="dxa" w:w="4320"/>
          </w:tcPr>
          <w:p>
            <w:r/>
          </w:p>
        </w:tc>
      </w:tr>
      <w:tr>
        <w:tc>
          <w:tcPr>
            <w:tcW w:type="dxa" w:w="4320"/>
          </w:tcPr>
          <w:p>
            <w:r>
              <w:t>Return Exception To Sender</w:t>
            </w:r>
          </w:p>
        </w:tc>
        <w:tc>
          <w:tcPr>
            <w:tcW w:type="dxa" w:w="4320"/>
          </w:tcPr>
          <w:p>
            <w:r>
              <w:t>false</w:t>
            </w:r>
          </w:p>
        </w:tc>
      </w:tr>
      <w:tr>
        <w:tc>
          <w:tcPr>
            <w:tcW w:type="dxa" w:w="4320"/>
          </w:tcPr>
          <w:p>
            <w:r>
              <w:t>Log</w:t>
            </w:r>
          </w:p>
        </w:tc>
        <w:tc>
          <w:tcPr>
            <w:tcW w:type="dxa" w:w="4320"/>
          </w:tcPr>
          <w:p>
            <w:r>
              <w:t>All events</w:t>
            </w:r>
          </w:p>
        </w:tc>
      </w:tr>
      <w:tr>
        <w:tc>
          <w:tcPr>
            <w:tcW w:type="dxa" w:w="4320"/>
          </w:tcPr>
          <w:p>
            <w:r>
              <w:t>Cors Enabled</w:t>
            </w:r>
          </w:p>
        </w:tc>
        <w:tc>
          <w:tcPr>
            <w:tcW w:type="dxa" w:w="4320"/>
          </w:tcPr>
          <w:p>
            <w:r>
              <w:t>false</w:t>
            </w:r>
          </w:p>
        </w:tc>
      </w:tr>
      <w:tr>
        <w:tc>
          <w:tcPr>
            <w:tcW w:type="dxa" w:w="4320"/>
          </w:tcPr>
          <w:p>
            <w:r>
              <w:t>Exposed Headers</w:t>
            </w:r>
          </w:p>
        </w:tc>
        <w:tc>
          <w:tcPr>
            <w:tcW w:type="dxa" w:w="4320"/>
          </w:tcPr>
          <w:p>
            <w:r/>
          </w:p>
        </w:tc>
      </w:tr>
      <w:tr>
        <w:tc>
          <w:tcPr>
            <w:tcW w:type="dxa" w:w="4320"/>
          </w:tcPr>
          <w:p>
            <w:r>
              <w:t>Component Version</w:t>
            </w:r>
          </w:p>
        </w:tc>
        <w:tc>
          <w:tcPr>
            <w:tcW w:type="dxa" w:w="4320"/>
          </w:tcPr>
          <w:p>
            <w:r>
              <w:t>1.2</w:t>
            </w:r>
          </w:p>
        </w:tc>
      </w:tr>
      <w:tr>
        <w:tc>
          <w:tcPr>
            <w:tcW w:type="dxa" w:w="4320"/>
          </w:tcPr>
          <w:p>
            <w:r>
              <w:t>Allowed Header List</w:t>
            </w:r>
          </w:p>
        </w:tc>
        <w:tc>
          <w:tcPr>
            <w:tcW w:type="dxa" w:w="4320"/>
          </w:tcPr>
          <w:p>
            <w:r/>
          </w:p>
        </w:tc>
      </w:tr>
      <w:tr>
        <w:tc>
          <w:tcPr>
            <w:tcW w:type="dxa" w:w="4320"/>
          </w:tcPr>
          <w:p>
            <w:r>
              <w:t>Server Trace</w:t>
            </w:r>
          </w:p>
        </w:tc>
        <w:tc>
          <w:tcPr>
            <w:tcW w:type="dxa" w:w="4320"/>
          </w:tcPr>
          <w:p>
            <w:r>
              <w:t>false</w:t>
            </w:r>
          </w:p>
        </w:tc>
      </w:tr>
      <w:tr>
        <w:tc>
          <w:tcPr>
            <w:tcW w:type="dxa" w:w="4320"/>
          </w:tcPr>
          <w:p>
            <w:r>
              <w:t>Allowed Origins</w:t>
            </w:r>
          </w:p>
        </w:tc>
        <w:tc>
          <w:tcPr>
            <w:tcW w:type="dxa" w:w="4320"/>
          </w:tcPr>
          <w:p>
            <w:r/>
          </w:p>
        </w:tc>
      </w:tr>
      <w:tr>
        <w:tc>
          <w:tcPr>
            <w:tcW w:type="dxa" w:w="4320"/>
          </w:tcPr>
          <w:p>
            <w:r>
              <w:t>Access Control Allow Credentials</w:t>
            </w:r>
          </w:p>
        </w:tc>
        <w:tc>
          <w:tcPr>
            <w:tcW w:type="dxa" w:w="4320"/>
          </w:tcPr>
          <w:p>
            <w:r>
              <w:t>false</w:t>
            </w:r>
          </w:p>
        </w:tc>
      </w:tr>
      <w:tr>
        <w:tc>
          <w:tcPr>
            <w:tcW w:type="dxa" w:w="4320"/>
          </w:tcPr>
          <w:p>
            <w:r>
              <w:t>Allowed Headers</w:t>
            </w:r>
          </w:p>
        </w:tc>
        <w:tc>
          <w:tcPr>
            <w:tcW w:type="dxa" w:w="4320"/>
          </w:tcPr>
          <w:p>
            <w:r/>
          </w:p>
        </w:tc>
      </w:tr>
      <w:tr>
        <w:tc>
          <w:tcPr>
            <w:tcW w:type="dxa" w:w="4320"/>
          </w:tcPr>
          <w:p>
            <w:r>
              <w:t>Allowed Methods</w:t>
            </w:r>
          </w:p>
        </w:tc>
        <w:tc>
          <w:tcPr>
            <w:tcW w:type="dxa" w:w="4320"/>
          </w:tcPr>
          <w:p>
            <w:r/>
          </w:p>
        </w:tc>
      </w:tr>
      <w:tr>
        <w:tc>
          <w:tcPr>
            <w:tcW w:type="dxa" w:w="4320"/>
          </w:tcPr>
          <w:p>
            <w:r>
              <w:t>Cmd Variant Uri</w:t>
            </w:r>
          </w:p>
        </w:tc>
        <w:tc>
          <w:tcPr>
            <w:tcW w:type="dxa" w:w="4320"/>
          </w:tcPr>
          <w:p>
            <w:r>
              <w:t>ctype::IFlowVariant/cname::IFlowConfiguration/version::1.2.4</w:t>
            </w:r>
          </w:p>
        </w:tc>
      </w:tr>
    </w:tbl>
    <w:p>
      <w:pPr>
        <w:pStyle w:val="Heading2"/>
      </w:pPr>
      <w:r>
        <w:t>5.7. Groovy Scripts</w:t>
      </w:r>
    </w:p>
    <w:p>
      <w:r>
        <w:rPr>
          <w:b w:val="0"/>
          <w:i w:val="0"/>
          <w:sz w:val="24"/>
        </w:rPr>
        <w:t>This SAP iFlow, "Post_Bulk_Order_SV," uses Groovy script indirectly through Content Modifiers (specifically, CallActivity_341642 and CallActivity_75198). The first modifies a header ("Mat2") using an XPath expression targeting the Material from A_SalesContractItemType. The second CallActivity_75198 modifies body type to expression and property table with xpath. The value of the Material is extracted from the XML payload, influencing subsequent routing decisions within the iFlow. There is a general splitter used to split messages.</w:t>
        <w:br/>
      </w:r>
    </w:p>
    <w:p>
      <w:r>
        <w:rPr>
          <w:b w:val="0"/>
          <w:i w:val="0"/>
          <w:sz w:val="24"/>
        </w:rPr>
        <w:t>No Groovy scripts found in the specified folder.</w:t>
      </w:r>
    </w:p>
    <w:p>
      <w:pPr>
        <w:pStyle w:val="Heading2"/>
      </w:pPr>
      <w:r>
        <w:t>5.8. Error Handling &amp; Logging</w:t>
      </w:r>
    </w:p>
    <w:p>
      <w:r>
        <w:rPr>
          <w:b w:val="0"/>
          <w:i w:val="0"/>
          <w:sz w:val="24"/>
        </w:rPr>
      </w:r>
    </w:p>
    <w:p>
      <w:r>
        <w:rPr>
          <w:b w:val="0"/>
          <w:i w:val="0"/>
          <w:sz w:val="24"/>
        </w:rPr>
        <w:t>No exception subprocesses found in the iFlow.</w:t>
      </w:r>
    </w:p>
    <w:p>
      <w:pPr>
        <w:pStyle w:val="Heading1"/>
      </w:pPr>
      <w:r>
        <w:t>6. Version and Metadata</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componentVersion</w:t>
            </w:r>
          </w:p>
        </w:tc>
        <w:tc>
          <w:tcPr>
            <w:tcW w:type="dxa" w:w="4320"/>
          </w:tcPr>
          <w:p>
            <w:r>
              <w:t>1.0</w:t>
            </w:r>
          </w:p>
        </w:tc>
      </w:tr>
      <w:tr>
        <w:tc>
          <w:tcPr>
            <w:tcW w:type="dxa" w:w="4320"/>
          </w:tcPr>
          <w:p>
            <w:r>
              <w:t>ComponentNS</w:t>
            </w:r>
          </w:p>
        </w:tc>
        <w:tc>
          <w:tcPr>
            <w:tcW w:type="dxa" w:w="4320"/>
          </w:tcPr>
          <w:p>
            <w:r>
              <w:t>sap</w:t>
            </w:r>
          </w:p>
        </w:tc>
      </w:tr>
      <w:tr>
        <w:tc>
          <w:tcPr>
            <w:tcW w:type="dxa" w:w="4320"/>
          </w:tcPr>
          <w:p>
            <w:r>
              <w:t>ComponentSWCVName</w:t>
            </w:r>
          </w:p>
        </w:tc>
        <w:tc>
          <w:tcPr>
            <w:tcW w:type="dxa" w:w="4320"/>
          </w:tcPr>
          <w:p>
            <w:r>
              <w:t>external</w:t>
            </w:r>
          </w:p>
        </w:tc>
      </w:tr>
      <w:tr>
        <w:tc>
          <w:tcPr>
            <w:tcW w:type="dxa" w:w="4320"/>
          </w:tcPr>
          <w:p>
            <w:r>
              <w:t>ComponentSWCVId</w:t>
            </w:r>
          </w:p>
        </w:tc>
        <w:tc>
          <w:tcPr>
            <w:tcW w:type="dxa" w:w="4320"/>
          </w:tcPr>
          <w:p>
            <w:r>
              <w:t>1.5.2</w:t>
            </w:r>
          </w:p>
        </w:tc>
      </w:tr>
    </w:tbl>
    <w:p>
      <w:r>
        <w:rPr>
          <w:b w:val="0"/>
          <w:i w:val="0"/>
          <w:sz w:val="24"/>
        </w:rPr>
        <w:t>The iFlow's component version is 1.0, belonging to the `sap` namespace. Its associated Software Component Version (SWCV) is identified by the name `external`. This SWCV is further specified by the Software Component Version ID `1.5.2`. This iFlow utilizes a component from the `external` software component version to perform the iFlow functionality. The metadata indicates that the iFlow is built against a specific version (`1.5.2`) of the external component.</w:t>
        <w:br/>
      </w:r>
    </w:p>
    <w:p>
      <w:pPr>
        <w:pStyle w:val="Heading1"/>
      </w:pPr>
      <w:r>
        <w:t>7. Appendix</w:t>
      </w:r>
    </w:p>
    <w:p>
      <w:r>
        <w:rPr>
          <w:b w:val="0"/>
          <w:i w:val="0"/>
          <w:sz w:val="24"/>
        </w:rPr>
        <w:t>The iFlow defined in the XML contains a Message Mapping, Content Modifiers, a General Splitter, a Request Reply step, a Router and a Data Store operation.  The `Message Mapping 1` artifact references the `Bulk2.mmap` mapping file located in `dir://mmap/src/main/resources/mapping/`.  `Content Modifier 2` extracts a Material Number using the XPath expression `//batchChangeSetPart/A_SalesContract//A_SalesContractItemType/Material`. `Content Modifier 3` sets a header named Mat2 using the XPath expression `//A_SalesContractItemType/Material`. The `General Splitter 1` splits the message based on the XPath expression `/batchPartResponse/batchChangeSetResponse/batchChangeSetPartResponse`.</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Author: Generated by AI | Version: 1.0 | Date: 2025-11-04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Technical Specification: iFlow - Post_Bulk_Order_SV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