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8"/>
        </w:rPr>
        <w:t xml:space="preserve">SAP Integration Suite </w:t>
        <w:br/>
        <w:t>Cloud Integration - Technical Specification</w:t>
        <w:br/>
        <w:t xml:space="preserve"> iFlow Name : Post_Bulk_Order_SV</w:t>
      </w:r>
    </w:p>
    <w:p>
      <w:pPr>
        <w:jc w:val="center"/>
      </w:pPr>
      <w:r>
        <w:rPr>
          <w:b w:val="0"/>
          <w:i w:val="0"/>
          <w:sz w:val="24"/>
        </w:rPr>
        <w:t>Version: 1.0</w:t>
      </w:r>
    </w:p>
    <w:p>
      <w:pPr>
        <w:jc w:val="center"/>
      </w:pPr>
      <w:r>
        <w:rPr>
          <w:b w:val="0"/>
          <w:i w:val="0"/>
          <w:sz w:val="24"/>
        </w:rPr>
        <w:t>Author: Generated by AI</w:t>
      </w:r>
    </w:p>
    <w:p>
      <w:pPr>
        <w:jc w:val="center"/>
      </w:pPr>
      <w:r>
        <w:rPr>
          <w:b w:val="0"/>
          <w:i w:val="0"/>
          <w:sz w:val="24"/>
        </w:rPr>
        <w:t>Date: 2025-11-04</w:t>
      </w:r>
    </w:p>
    <w:p>
      <w:r>
        <w:br w:type="page"/>
      </w:r>
    </w:p>
    <w:p>
      <w:pPr>
        <w:pStyle w:val="Heading1"/>
      </w:pPr>
      <w:r>
        <w:t>Table of Contents</w:t>
      </w:r>
    </w:p>
    <w:p>
      <w:r>
        <w:rPr>
          <w:b w:val="0"/>
          <w:i w:val="0"/>
          <w:sz w:val="24"/>
        </w:rPr>
        <w:t>1. Change History</w:t>
      </w:r>
    </w:p>
    <w:p>
      <w:r>
        <w:rPr>
          <w:b w:val="0"/>
          <w:i w:val="0"/>
          <w:sz w:val="24"/>
        </w:rPr>
        <w:t>2. Overview</w:t>
      </w:r>
    </w:p>
    <w:p>
      <w:r>
        <w:rPr>
          <w:b w:val="0"/>
          <w:i w:val="0"/>
          <w:sz w:val="24"/>
        </w:rPr>
        <w:t>3. High level iFlow Design</w:t>
      </w:r>
    </w:p>
    <w:p>
      <w:r>
        <w:rPr>
          <w:b w:val="0"/>
          <w:i w:val="0"/>
          <w:sz w:val="24"/>
        </w:rPr>
        <w:t>4. Message Flow</w:t>
      </w:r>
    </w:p>
    <w:p>
      <w:r>
        <w:rPr>
          <w:b w:val="0"/>
          <w:i w:val="0"/>
          <w:sz w:val="24"/>
        </w:rPr>
        <w:t>5. Technical Description</w:t>
      </w:r>
    </w:p>
    <w:p>
      <w:r>
        <w:rPr>
          <w:b w:val="0"/>
          <w:i w:val="0"/>
          <w:sz w:val="24"/>
        </w:rPr>
        <w:t>5.1. Main Integration Process</w:t>
      </w:r>
    </w:p>
    <w:p>
      <w:r>
        <w:rPr>
          <w:b w:val="0"/>
          <w:i w:val="0"/>
          <w:sz w:val="24"/>
        </w:rPr>
        <w:t>5.2. Local Integration Process</w:t>
      </w:r>
    </w:p>
    <w:p>
      <w:r>
        <w:rPr>
          <w:b w:val="0"/>
          <w:i w:val="0"/>
          <w:sz w:val="24"/>
        </w:rPr>
        <w:t>5.3. Sender</w:t>
      </w:r>
    </w:p>
    <w:p>
      <w:r>
        <w:rPr>
          <w:b w:val="0"/>
          <w:i w:val="0"/>
          <w:sz w:val="24"/>
        </w:rPr>
        <w:t>5.4. Receiver</w:t>
      </w:r>
    </w:p>
    <w:p>
      <w:r>
        <w:rPr>
          <w:b w:val="0"/>
          <w:i w:val="0"/>
          <w:sz w:val="24"/>
        </w:rPr>
        <w:t>5.5. Mappings</w:t>
      </w:r>
    </w:p>
    <w:p>
      <w:r>
        <w:rPr>
          <w:b w:val="0"/>
          <w:i w:val="0"/>
          <w:sz w:val="24"/>
        </w:rPr>
        <w:t>5.6. Security</w:t>
      </w:r>
    </w:p>
    <w:p>
      <w:r>
        <w:rPr>
          <w:b w:val="0"/>
          <w:i w:val="0"/>
          <w:sz w:val="24"/>
        </w:rPr>
        <w:t>5.7. Groovy Scripts</w:t>
      </w:r>
    </w:p>
    <w:p>
      <w:r>
        <w:rPr>
          <w:b w:val="0"/>
          <w:i w:val="0"/>
          <w:sz w:val="24"/>
        </w:rPr>
        <w:t>5.8. Error Handling &amp; Logging</w:t>
      </w:r>
    </w:p>
    <w:p>
      <w:r>
        <w:rPr>
          <w:b w:val="0"/>
          <w:i w:val="0"/>
          <w:sz w:val="24"/>
        </w:rPr>
        <w:t>6. Version and Metadata</w:t>
      </w:r>
    </w:p>
    <w:p>
      <w:r>
        <w:rPr>
          <w:b w:val="0"/>
          <w:i w:val="0"/>
          <w:sz w:val="24"/>
        </w:rPr>
        <w:t>7. Appendix</w:t>
      </w:r>
    </w:p>
    <w:p>
      <w:r>
        <w:br w:type="page"/>
      </w:r>
    </w:p>
    <w:p>
      <w:pPr>
        <w:pStyle w:val="Heading1"/>
      </w:pPr>
      <w:r>
        <w:t>1. Change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color w:val="003366"/>
              </w:rPr>
              <w:t>Version</w:t>
            </w:r>
          </w:p>
        </w:tc>
        <w:tc>
          <w:tcPr>
            <w:tcW w:type="dxa" w:w="2160"/>
          </w:tcPr>
          <w:p>
            <w:r>
              <w:rPr>
                <w:b/>
                <w:color w:val="003366"/>
              </w:rPr>
              <w:t>Date</w:t>
            </w:r>
          </w:p>
        </w:tc>
        <w:tc>
          <w:tcPr>
            <w:tcW w:type="dxa" w:w="2160"/>
          </w:tcPr>
          <w:p>
            <w:r>
              <w:rPr>
                <w:b/>
                <w:color w:val="003366"/>
              </w:rPr>
              <w:t>Author</w:t>
            </w:r>
          </w:p>
        </w:tc>
        <w:tc>
          <w:tcPr>
            <w:tcW w:type="dxa" w:w="2160"/>
          </w:tcPr>
          <w:p>
            <w:r>
              <w:rPr>
                <w:b/>
                <w:color w:val="003366"/>
              </w:rPr>
              <w:t>Description</w:t>
            </w:r>
          </w:p>
        </w:tc>
      </w:tr>
      <w:tr>
        <w:tc>
          <w:tcPr>
            <w:tcW w:type="dxa" w:w="2160"/>
          </w:tcPr>
          <w:p>
            <w:r>
              <w:t>1.0</w:t>
            </w:r>
          </w:p>
        </w:tc>
        <w:tc>
          <w:tcPr>
            <w:tcW w:type="dxa" w:w="2160"/>
          </w:tcPr>
          <w:p>
            <w:r>
              <w:t>2025-11-04</w:t>
            </w:r>
          </w:p>
        </w:tc>
        <w:tc>
          <w:tcPr>
            <w:tcW w:type="dxa" w:w="2160"/>
          </w:tcPr>
          <w:p>
            <w:r>
              <w:t>Generated by AI</w:t>
            </w:r>
          </w:p>
        </w:tc>
        <w:tc>
          <w:tcPr>
            <w:tcW w:type="dxa" w:w="2160"/>
          </w:tcPr>
          <w:p>
            <w:r>
              <w:t>Initial version</w:t>
            </w:r>
          </w:p>
        </w:tc>
      </w:tr>
    </w:tbl>
    <w:p>
      <w:r>
        <w:br w:type="page"/>
      </w:r>
    </w:p>
    <w:p>
      <w:pPr>
        <w:pStyle w:val="Heading1"/>
      </w:pPr>
      <w:r>
        <w:t>2. Overview</w:t>
      </w:r>
    </w:p>
    <w:p>
      <w:r>
        <w:rPr>
          <w:b w:val="0"/>
          <w:i w:val="0"/>
          <w:sz w:val="24"/>
        </w:rPr>
        <w:t>This technical specification document provides a detailed overview of the Post_Bulk_Order_SV iFlow's configuration and design. It serves as a reference for developers and administrators to understand the iFlow's message processing steps, communication channels, and adapter configurations. The document captures key properties such as endpoint details, message protocols (HTTPS, OData V2), security settings, and component versions. It enables informed decision-making during development, deployment, and troubleshooting, ensuring the iFlow functions as intended and integrates correctly with other systems. This documentation facilitates maintenance, upgrades, and knowledge transfer within the project team.</w:t>
        <w:br/>
      </w:r>
    </w:p>
    <w:p>
      <w:pPr>
        <w:pStyle w:val="Heading1"/>
      </w:pPr>
      <w:r>
        <w:t>3. High level iFlow Design</w:t>
      </w:r>
    </w:p>
    <w:p>
      <w:r>
        <w:rPr>
          <w:b w:val="0"/>
          <w:i w:val="0"/>
          <w:sz w:val="24"/>
        </w:rPr>
        <w:t>The iFlow `Post_Bulk_Order_SV` processes bulk order data from a Sender to a Receiver system. It begins with a `StartEvent` receiving a message, followed by `Content Modifier 1` which enriches the message with a constant payload, then `Message Mapping 1` maps the enriched message. The iFlow then uses `Content Modifier 3` which enriches the message by creating a header from an xpath. The iFlow executes `Request Reply 1` to call an external service. The response is then split into individual parts by `General Splitter 1` and routed using `Router 1`. Successful routes write to a database via `Write 1` before ending and other routes go to `Content Modifier 2` before ending.</w:t>
        <w:br/>
      </w:r>
    </w:p>
    <w:p>
      <w:r>
        <w:drawing>
          <wp:inline xmlns:a="http://schemas.openxmlformats.org/drawingml/2006/main" xmlns:pic="http://schemas.openxmlformats.org/drawingml/2006/picture">
            <wp:extent cx="5486400" cy="1828800"/>
            <wp:docPr id="1" name="Picture 1"/>
            <wp:cNvGraphicFramePr>
              <a:graphicFrameLocks noChangeAspect="1"/>
            </wp:cNvGraphicFramePr>
            <a:graphic>
              <a:graphicData uri="http://schemas.openxmlformats.org/drawingml/2006/picture">
                <pic:pic>
                  <pic:nvPicPr>
                    <pic:cNvPr id="0" name="bpmn_diagram.png"/>
                    <pic:cNvPicPr/>
                  </pic:nvPicPr>
                  <pic:blipFill>
                    <a:blip r:embed="rId11"/>
                    <a:stretch>
                      <a:fillRect/>
                    </a:stretch>
                  </pic:blipFill>
                  <pic:spPr>
                    <a:xfrm>
                      <a:off x="0" y="0"/>
                      <a:ext cx="5486400" cy="1828800"/>
                    </a:xfrm>
                    <a:prstGeom prst="rect"/>
                  </pic:spPr>
                </pic:pic>
              </a:graphicData>
            </a:graphic>
          </wp:inline>
        </w:drawing>
      </w:r>
    </w:p>
    <w:p>
      <w:pPr>
        <w:jc w:val="center"/>
      </w:pPr>
      <w:r>
        <w:rPr>
          <w:b w:val="0"/>
          <w:i w:val="0"/>
          <w:sz w:val="24"/>
        </w:rPr>
        <w:t>Figure: High level BPMN iFlow message and sequence flow</w:t>
      </w:r>
    </w:p>
    <w:p>
      <w:pPr>
        <w:pStyle w:val="Heading1"/>
      </w:pPr>
      <w:r>
        <w:t>4. Message Flow</w:t>
      </w:r>
    </w:p>
    <w:p>
      <w:r>
        <w:rPr>
          <w:b w:val="0"/>
          <w:i w:val="0"/>
          <w:sz w:val="24"/>
        </w:rPr>
        <w:t>The iFlow contains two message flows.  The first, named "OData", is a receiver OData V2 adapter configured to create Sales Contracts via POST to `http://sentrydev:44300/sap/opu/odata/sap/API_SALES_CONTRACT_SRV` with a resource path of `A_SalesContract`. The authentication method is Basic, MPL Attachments are enabled, TLS Session Reuse is enabled, and Batch Processing is enabled. The second flow, named "HTTPS", is a sender HTTPS adapter configured with `ESBMessaging.send` role-based authentication using a role and accepts a maximum body size of 40. It exposes the URL path `/post_bulk/order_sv`.</w:t>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003366"/>
              </w:rPr>
              <w:t>Source</w:t>
            </w:r>
          </w:p>
        </w:tc>
        <w:tc>
          <w:tcPr>
            <w:tcW w:type="dxa" w:w="2880"/>
          </w:tcPr>
          <w:p>
            <w:r>
              <w:rPr>
                <w:b/>
                <w:color w:val="003366"/>
              </w:rPr>
              <w:t>Target</w:t>
            </w:r>
          </w:p>
        </w:tc>
        <w:tc>
          <w:tcPr>
            <w:tcW w:type="dxa" w:w="2880"/>
          </w:tcPr>
          <w:p>
            <w:r>
              <w:rPr>
                <w:b/>
                <w:color w:val="003366"/>
              </w:rPr>
              <w:t>Name</w:t>
            </w:r>
          </w:p>
        </w:tc>
      </w:tr>
      <w:tr>
        <w:tc>
          <w:tcPr>
            <w:tcW w:type="dxa" w:w="2880"/>
          </w:tcPr>
          <w:p>
            <w:r>
              <w:t>Request Reply 1</w:t>
            </w:r>
          </w:p>
        </w:tc>
        <w:tc>
          <w:tcPr>
            <w:tcW w:type="dxa" w:w="2880"/>
          </w:tcPr>
          <w:p>
            <w:r>
              <w:t>Receiver1</w:t>
            </w:r>
          </w:p>
        </w:tc>
        <w:tc>
          <w:tcPr>
            <w:tcW w:type="dxa" w:w="2880"/>
          </w:tcPr>
          <w:p>
            <w:r>
              <w:t>OData</w:t>
            </w:r>
          </w:p>
        </w:tc>
      </w:tr>
      <w:tr>
        <w:tc>
          <w:tcPr>
            <w:tcW w:type="dxa" w:w="2880"/>
          </w:tcPr>
          <w:p>
            <w:r>
              <w:t>Sender</w:t>
            </w:r>
          </w:p>
        </w:tc>
        <w:tc>
          <w:tcPr>
            <w:tcW w:type="dxa" w:w="2880"/>
          </w:tcPr>
          <w:p>
            <w:r>
              <w:t>Start</w:t>
            </w:r>
          </w:p>
        </w:tc>
        <w:tc>
          <w:tcPr>
            <w:tcW w:type="dxa" w:w="2880"/>
          </w:tcPr>
          <w:p>
            <w:r>
              <w:t>HTTPS</w:t>
            </w:r>
          </w:p>
        </w:tc>
      </w:tr>
    </w:tbl>
    <w:p>
      <w:pPr>
        <w:pStyle w:val="Heading1"/>
      </w:pPr>
      <w:r>
        <w:t>5. Technical Description</w:t>
      </w:r>
    </w:p>
    <w:p>
      <w:pPr>
        <w:pStyle w:val="Heading2"/>
      </w:pPr>
      <w:r>
        <w:t xml:space="preserve">5.1. Main Integration Process </w:t>
      </w:r>
    </w:p>
    <w:p>
      <w:r>
        <w:rPr>
          <w:b w:val="0"/>
          <w:i w:val="0"/>
          <w:sz w:val="24"/>
        </w:rPr>
        <w:t>The iFlow `Process_1` named "Integration Process" starts with a `StartEvent` and enriches the message with a constant XML payload using `Content Modifier 1`. The message is then mapped via `Message Mapping 1` using the `Bulk2.mmap` mapping.  A `Content Modifier 3` extracts a value via XPath and sets it as a header. This is followed by a `Request Reply` service task, the response of which is split by `General Splitter 1`.  The flow then routes based on the statusCode of the `batchChangeSetPartResponse` via an `ExclusiveGateway`: a status of "201" results in storing the data via `Write 1` (DB persistence); otherwise content modification via `Content Modifier 2` and an end event are triggered.</w:t>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003366"/>
              </w:rPr>
              <w:t>Component Name</w:t>
            </w:r>
          </w:p>
        </w:tc>
        <w:tc>
          <w:tcPr>
            <w:tcW w:type="dxa" w:w="2880"/>
          </w:tcPr>
          <w:p>
            <w:r>
              <w:rPr>
                <w:b/>
                <w:color w:val="003366"/>
              </w:rPr>
              <w:t>Key</w:t>
            </w:r>
          </w:p>
        </w:tc>
        <w:tc>
          <w:tcPr>
            <w:tcW w:type="dxa" w:w="2880"/>
          </w:tcPr>
          <w:p>
            <w:r>
              <w:rPr>
                <w:b/>
                <w:color w:val="003366"/>
              </w:rPr>
              <w:t>Value</w:t>
            </w:r>
          </w:p>
        </w:tc>
      </w:tr>
      <w:tr>
        <w:tc>
          <w:tcPr>
            <w:tcW w:type="dxa" w:w="2880"/>
          </w:tcPr>
          <w:p>
            <w:r>
              <w:t>Integration Process</w:t>
            </w:r>
          </w:p>
        </w:tc>
        <w:tc>
          <w:tcPr>
            <w:tcW w:type="dxa" w:w="2880"/>
          </w:tcPr>
          <w:p>
            <w:r>
              <w:t>Transaction Timeout</w:t>
            </w:r>
          </w:p>
        </w:tc>
        <w:tc>
          <w:tcPr>
            <w:tcW w:type="dxa" w:w="2880"/>
          </w:tcPr>
          <w:p>
            <w:r>
              <w:t>30</w:t>
            </w:r>
          </w:p>
        </w:tc>
      </w:tr>
      <w:tr>
        <w:tc>
          <w:tcPr>
            <w:tcW w:type="dxa" w:w="2880"/>
          </w:tcPr>
          <w:p>
            <w:r>
              <w:t>Integration Process</w:t>
            </w:r>
          </w:p>
        </w:tc>
        <w:tc>
          <w:tcPr>
            <w:tcW w:type="dxa" w:w="2880"/>
          </w:tcPr>
          <w:p>
            <w:r>
              <w:t>Component Version</w:t>
            </w:r>
          </w:p>
        </w:tc>
        <w:tc>
          <w:tcPr>
            <w:tcW w:type="dxa" w:w="2880"/>
          </w:tcPr>
          <w:p>
            <w:r>
              <w:t>1.2</w:t>
            </w:r>
          </w:p>
        </w:tc>
      </w:tr>
      <w:tr>
        <w:tc>
          <w:tcPr>
            <w:tcW w:type="dxa" w:w="2880"/>
          </w:tcPr>
          <w:p>
            <w:r>
              <w:t>Integration Process</w:t>
            </w:r>
          </w:p>
        </w:tc>
        <w:tc>
          <w:tcPr>
            <w:tcW w:type="dxa" w:w="2880"/>
          </w:tcPr>
          <w:p>
            <w:r>
              <w:t>Cmd Variant Uri</w:t>
            </w:r>
          </w:p>
        </w:tc>
        <w:tc>
          <w:tcPr>
            <w:tcW w:type="dxa" w:w="2880"/>
          </w:tcPr>
          <w:p>
            <w:r>
              <w:t>ctype::FlowElementVariant/cname::IntegrationProcess/version::1.2.1</w:t>
            </w:r>
          </w:p>
        </w:tc>
      </w:tr>
      <w:tr>
        <w:tc>
          <w:tcPr>
            <w:tcW w:type="dxa" w:w="2880"/>
          </w:tcPr>
          <w:p>
            <w:r>
              <w:t>Integration Process</w:t>
            </w:r>
          </w:p>
        </w:tc>
        <w:tc>
          <w:tcPr>
            <w:tcW w:type="dxa" w:w="2880"/>
          </w:tcPr>
          <w:p>
            <w:r>
              <w:t>Transactional Handling</w:t>
            </w:r>
          </w:p>
        </w:tc>
        <w:tc>
          <w:tcPr>
            <w:tcW w:type="dxa" w:w="2880"/>
          </w:tcPr>
          <w:p>
            <w:r>
              <w:t>Not Required</w:t>
            </w:r>
          </w:p>
        </w:tc>
      </w:tr>
    </w:tbl>
    <w:p>
      <w:pPr>
        <w:pStyle w:val="Heading3"/>
      </w:pPr>
      <w:r>
        <w:t>serviceTask Request Reply 1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Component Version</w:t>
            </w:r>
          </w:p>
        </w:tc>
        <w:tc>
          <w:tcPr>
            <w:tcW w:type="dxa" w:w="4320"/>
          </w:tcPr>
          <w:p>
            <w:r>
              <w:t>1.0</w:t>
            </w:r>
          </w:p>
        </w:tc>
      </w:tr>
      <w:tr>
        <w:tc>
          <w:tcPr>
            <w:tcW w:type="dxa" w:w="4320"/>
          </w:tcPr>
          <w:p>
            <w:r>
              <w:t>Activity Type</w:t>
            </w:r>
          </w:p>
        </w:tc>
        <w:tc>
          <w:tcPr>
            <w:tcW w:type="dxa" w:w="4320"/>
          </w:tcPr>
          <w:p>
            <w:r>
              <w:t>ExternalCall</w:t>
            </w:r>
          </w:p>
        </w:tc>
      </w:tr>
      <w:tr>
        <w:tc>
          <w:tcPr>
            <w:tcW w:type="dxa" w:w="4320"/>
          </w:tcPr>
          <w:p>
            <w:r>
              <w:t>Cmd Variant Uri</w:t>
            </w:r>
          </w:p>
        </w:tc>
        <w:tc>
          <w:tcPr>
            <w:tcW w:type="dxa" w:w="4320"/>
          </w:tcPr>
          <w:p>
            <w:r>
              <w:t>ctype::FlowstepVariant/cname::ExternalCall/version::1.0.4</w:t>
            </w:r>
          </w:p>
        </w:tc>
      </w:tr>
    </w:tbl>
    <w:p>
      <w:pPr>
        <w:pStyle w:val="Heading3"/>
      </w:pPr>
      <w:r>
        <w:t>endEvent End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Component Version</w:t>
            </w:r>
          </w:p>
        </w:tc>
        <w:tc>
          <w:tcPr>
            <w:tcW w:type="dxa" w:w="4320"/>
          </w:tcPr>
          <w:p>
            <w:r>
              <w:t>1.1</w:t>
            </w:r>
          </w:p>
        </w:tc>
      </w:tr>
      <w:tr>
        <w:tc>
          <w:tcPr>
            <w:tcW w:type="dxa" w:w="4320"/>
          </w:tcPr>
          <w:p>
            <w:r>
              <w:t>Cmd Variant Uri</w:t>
            </w:r>
          </w:p>
        </w:tc>
        <w:tc>
          <w:tcPr>
            <w:tcW w:type="dxa" w:w="4320"/>
          </w:tcPr>
          <w:p>
            <w:r>
              <w:t>ctype::FlowstepVariant/cname::MessageEndEvent/version::1.1.0</w:t>
            </w:r>
          </w:p>
        </w:tc>
      </w:tr>
    </w:tbl>
    <w:p>
      <w:pPr>
        <w:pStyle w:val="Heading3"/>
      </w:pPr>
      <w:r>
        <w:t>endEvent End 1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Component Version</w:t>
            </w:r>
          </w:p>
        </w:tc>
        <w:tc>
          <w:tcPr>
            <w:tcW w:type="dxa" w:w="4320"/>
          </w:tcPr>
          <w:p>
            <w:r>
              <w:t>1.1</w:t>
            </w:r>
          </w:p>
        </w:tc>
      </w:tr>
      <w:tr>
        <w:tc>
          <w:tcPr>
            <w:tcW w:type="dxa" w:w="4320"/>
          </w:tcPr>
          <w:p>
            <w:r>
              <w:t>Cmd Variant Uri</w:t>
            </w:r>
          </w:p>
        </w:tc>
        <w:tc>
          <w:tcPr>
            <w:tcW w:type="dxa" w:w="4320"/>
          </w:tcPr>
          <w:p>
            <w:r>
              <w:t>ctype::FlowstepVariant/cname::MessageEndEvent/version::1.1.0</w:t>
            </w:r>
          </w:p>
        </w:tc>
      </w:tr>
    </w:tbl>
    <w:p>
      <w:pPr>
        <w:pStyle w:val="Heading3"/>
      </w:pPr>
      <w:r>
        <w:t>callActivity Content Modifier 2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Body Type</w:t>
            </w:r>
          </w:p>
        </w:tc>
        <w:tc>
          <w:tcPr>
            <w:tcW w:type="dxa" w:w="4320"/>
          </w:tcPr>
          <w:p>
            <w:r>
              <w:t>expression</w:t>
            </w:r>
          </w:p>
        </w:tc>
      </w:tr>
      <w:tr>
        <w:tc>
          <w:tcPr>
            <w:tcW w:type="dxa" w:w="4320"/>
          </w:tcPr>
          <w:p>
            <w:r>
              <w:t>Property Table</w:t>
            </w:r>
          </w:p>
        </w:tc>
        <w:tc>
          <w:tcPr>
            <w:tcW w:type="dxa" w:w="4320"/>
          </w:tcPr>
          <w:p>
            <w:r>
              <w:t>&lt;row&gt;&lt;cell id='Action'&gt;Create&lt;/cell&gt;&lt;cell id='Type'&gt;xpath&lt;/cell&gt;&lt;cell id='Value'&gt;//batchChangeSetPart/A_SalesContract//A_SalesContractItemType/Material&lt;/cell&gt;&lt;cell id='Default'&gt;&lt;/cell&gt;&lt;cell id='Name'&gt;Material_Number&lt;/cell&gt;&lt;cell id='Datatype'&gt;java.lang.String&lt;/cell&gt;&lt;/row&gt;</w:t>
            </w:r>
          </w:p>
        </w:tc>
      </w:tr>
      <w:tr>
        <w:tc>
          <w:tcPr>
            <w:tcW w:type="dxa" w:w="4320"/>
          </w:tcPr>
          <w:p>
            <w:r>
              <w:t>Header Table</w:t>
            </w:r>
          </w:p>
        </w:tc>
        <w:tc>
          <w:tcPr>
            <w:tcW w:type="dxa" w:w="4320"/>
          </w:tcPr>
          <w:p>
            <w:r/>
          </w:p>
        </w:tc>
      </w:tr>
      <w:tr>
        <w:tc>
          <w:tcPr>
            <w:tcW w:type="dxa" w:w="4320"/>
          </w:tcPr>
          <w:p>
            <w:r>
              <w:t>Wrap Content</w:t>
            </w:r>
          </w:p>
        </w:tc>
        <w:tc>
          <w:tcPr>
            <w:tcW w:type="dxa" w:w="4320"/>
          </w:tcPr>
          <w:p>
            <w:r>
              <w:t>Order is not created Sucessfully ${header.Mat2}</w:t>
            </w:r>
          </w:p>
        </w:tc>
      </w:tr>
      <w:tr>
        <w:tc>
          <w:tcPr>
            <w:tcW w:type="dxa" w:w="4320"/>
          </w:tcPr>
          <w:p>
            <w:r>
              <w:t>Component Version</w:t>
            </w:r>
          </w:p>
        </w:tc>
        <w:tc>
          <w:tcPr>
            <w:tcW w:type="dxa" w:w="4320"/>
          </w:tcPr>
          <w:p>
            <w:r>
              <w:t>1.6</w:t>
            </w:r>
          </w:p>
        </w:tc>
      </w:tr>
      <w:tr>
        <w:tc>
          <w:tcPr>
            <w:tcW w:type="dxa" w:w="4320"/>
          </w:tcPr>
          <w:p>
            <w:r>
              <w:t>Activity Type</w:t>
            </w:r>
          </w:p>
        </w:tc>
        <w:tc>
          <w:tcPr>
            <w:tcW w:type="dxa" w:w="4320"/>
          </w:tcPr>
          <w:p>
            <w:r>
              <w:t>Enricher</w:t>
            </w:r>
          </w:p>
        </w:tc>
      </w:tr>
      <w:tr>
        <w:tc>
          <w:tcPr>
            <w:tcW w:type="dxa" w:w="4320"/>
          </w:tcPr>
          <w:p>
            <w:r>
              <w:t>Cmd Variant Uri</w:t>
            </w:r>
          </w:p>
        </w:tc>
        <w:tc>
          <w:tcPr>
            <w:tcW w:type="dxa" w:w="4320"/>
          </w:tcPr>
          <w:p>
            <w:r>
              <w:t>ctype::FlowstepVariant/cname::Enricher/version::1.6.0</w:t>
            </w:r>
          </w:p>
        </w:tc>
      </w:tr>
    </w:tbl>
    <w:p>
      <w:pPr>
        <w:pStyle w:val="Heading3"/>
      </w:pPr>
      <w:r>
        <w:t>callActivity Content Modifier 1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Body Type</w:t>
            </w:r>
          </w:p>
        </w:tc>
        <w:tc>
          <w:tcPr>
            <w:tcW w:type="dxa" w:w="4320"/>
          </w:tcPr>
          <w:p>
            <w:r>
              <w:t>constant</w:t>
            </w:r>
          </w:p>
        </w:tc>
      </w:tr>
      <w:tr>
        <w:tc>
          <w:tcPr>
            <w:tcW w:type="dxa" w:w="4320"/>
          </w:tcPr>
          <w:p>
            <w:r>
              <w:t>Property Table</w:t>
            </w:r>
          </w:p>
        </w:tc>
        <w:tc>
          <w:tcPr>
            <w:tcW w:type="dxa" w:w="4320"/>
          </w:tcPr>
          <w:p>
            <w:r/>
          </w:p>
        </w:tc>
      </w:tr>
      <w:tr>
        <w:tc>
          <w:tcPr>
            <w:tcW w:type="dxa" w:w="4320"/>
          </w:tcPr>
          <w:p>
            <w:r>
              <w:t>Header Table</w:t>
            </w:r>
          </w:p>
        </w:tc>
        <w:tc>
          <w:tcPr>
            <w:tcW w:type="dxa" w:w="4320"/>
          </w:tcPr>
          <w:p>
            <w:r/>
          </w:p>
        </w:tc>
      </w:tr>
      <w:tr>
        <w:tc>
          <w:tcPr>
            <w:tcW w:type="dxa" w:w="4320"/>
          </w:tcPr>
          <w:p>
            <w:r>
              <w:t>Wrap Content</w:t>
            </w:r>
          </w:p>
        </w:tc>
        <w:tc>
          <w:tcPr>
            <w:tcW w:type="dxa" w:w="4320"/>
          </w:tcPr>
          <w:p>
            <w:r>
              <w:t>&lt;ROOT&gt;</w:t>
              <w:br/>
              <w:t xml:space="preserve">  &lt;select_response&gt;</w:t>
              <w:br/>
              <w:t xml:space="preserve">    &lt;row&gt;</w:t>
              <w:br/>
              <w:t xml:space="preserve">      &lt;BULK_ORDER_NO&gt;16101702&lt;/BULK_ORDER_NO&gt;</w:t>
              <w:br/>
              <w:t xml:space="preserve">      &lt;BULKTYPE/&gt;</w:t>
              <w:br/>
              <w:t xml:space="preserve">      &lt;START_DATE&gt;2017-10-16T00:00:00&lt;/START_DATE&gt;</w:t>
              <w:br/>
              <w:t xml:space="preserve">      &lt;LASTEDTDT&gt;2018-10-16T00:00:00&lt;/LASTEDTDT&gt;</w:t>
              <w:br/>
              <w:t xml:space="preserve">      &lt;SAP_MATERIAL_ID&gt;TG12&lt;/SAP_MATERIAL_ID&gt;</w:t>
              <w:br/>
              <w:t xml:space="preserve">      &lt;ORDER_QTY&gt;1&lt;/ORDER_QTY&gt;</w:t>
              <w:br/>
              <w:t xml:space="preserve">      &lt;UOM&gt;EA&lt;/UOM&gt;</w:t>
              <w:br/>
              <w:t xml:space="preserve">      &lt;CURRENCY&gt;USD&lt;/CURRENCY&gt;</w:t>
              <w:br/>
              <w:t xml:space="preserve">      &lt;SOLDTO&gt;17100001&lt;/SOLDTO&gt;</w:t>
              <w:br/>
              <w:t xml:space="preserve">      &lt;STYLE_NO&gt;TAMFD30TAR&lt;/STYLE_NO&gt;</w:t>
              <w:br/>
              <w:t xml:space="preserve">      &lt;COLCD&gt;JS0&lt;/COLCD&gt;</w:t>
              <w:br/>
              <w:t xml:space="preserve">      &lt;TEAMKEY&gt;817&lt;/TEAMKEY&gt;</w:t>
              <w:br/>
              <w:t xml:space="preserve">      &lt;SIZ&gt;M &lt;/SIZ&gt;</w:t>
              <w:br/>
              <w:t xml:space="preserve">      &lt;LOGOCD&gt;4YV&lt;/LOGOCD&gt;</w:t>
              <w:br/>
              <w:t xml:space="preserve">      &lt;PACKNOTES&gt;HWSF&lt;/PACKNOTES&gt;</w:t>
              <w:br/>
              <w:t xml:space="preserve">    &lt;/row&gt;</w:t>
              <w:br/>
              <w:t xml:space="preserve">    &lt;row&gt;</w:t>
              <w:br/>
              <w:t xml:space="preserve">      &lt;BULK_ORDER_NO&gt;16101701&lt;/BULK_ORDER_NO&gt;</w:t>
              <w:br/>
              <w:t xml:space="preserve">      &lt;BULKTYPE/&gt;</w:t>
              <w:br/>
              <w:t xml:space="preserve">      &lt;START_DATE&gt;2017-10-16T00:00:00&lt;/START_DATE&gt;</w:t>
              <w:br/>
              <w:t xml:space="preserve">      &lt;LASTEDTDT&gt;2018-10-16T00:00:00&lt;/LASTEDTDT&gt;</w:t>
              <w:br/>
              <w:t xml:space="preserve">      &lt;SAP_MATERIAL_ID&gt;TG12&lt;/SAP_MATERIAL_ID&gt;</w:t>
              <w:br/>
              <w:t xml:space="preserve">      &lt;ORDER_QTY&gt;1&lt;/ORDER_QTY&gt;</w:t>
              <w:br/>
              <w:t xml:space="preserve">      &lt;UOM&gt;EA&lt;/UOM&gt;</w:t>
              <w:br/>
              <w:t xml:space="preserve">      &lt;CURRENCY&gt;USD&lt;/CURRENCY&gt;</w:t>
              <w:br/>
              <w:t xml:space="preserve">      &lt;SOLDTO&gt;17100001&lt;/SOLDTO&gt;</w:t>
              <w:br/>
              <w:t xml:space="preserve">      &lt;STYLE_NO&gt;TAMFD30TAR&lt;/STYLE_NO&gt;</w:t>
              <w:br/>
              <w:t xml:space="preserve">      &lt;COLCD&gt;JS0&lt;/COLCD&gt;</w:t>
              <w:br/>
              <w:t xml:space="preserve">      &lt;TEAMKEY&gt;817&lt;/TEAMKEY&gt;</w:t>
              <w:br/>
              <w:t xml:space="preserve">      &lt;SIZ&gt;M &lt;/SIZ&gt;</w:t>
              <w:br/>
              <w:t xml:space="preserve">      &lt;LOGOCD&gt;4YV&lt;/LOGOCD&gt;</w:t>
              <w:br/>
              <w:t xml:space="preserve">      &lt;PACKNOTES&gt;HWSF&lt;/PACKNOTES&gt;</w:t>
              <w:br/>
              <w:t xml:space="preserve">    &lt;/row&gt;</w:t>
              <w:br/>
              <w:t xml:space="preserve">    &lt;row&gt;</w:t>
              <w:br/>
              <w:t xml:space="preserve">      &lt;BULK_ORDER_NO&gt;16101703&lt;/BULK_ORDER_NO&gt;</w:t>
              <w:br/>
              <w:t xml:space="preserve">      &lt;BULKTYPE/&gt;</w:t>
              <w:br/>
              <w:t xml:space="preserve">      &lt;START_DATE&gt;2017-10-16T00:00:00&lt;/START_DATE&gt;</w:t>
              <w:br/>
              <w:t xml:space="preserve">      &lt;LASTEDTDT&gt;2018-10-16T00:00:00&lt;/LASTEDTDT&gt;</w:t>
              <w:br/>
              <w:t xml:space="preserve">      &lt;SAP_MATERIAL_ID&gt;INVALID_MAT&lt;/SAP_MATERIAL_ID&gt;</w:t>
              <w:br/>
              <w:t xml:space="preserve">      &lt;ORDER_QTY&gt;-5&lt;/ORDER_QTY&gt;</w:t>
              <w:br/>
              <w:t xml:space="preserve">      &lt;UOM&gt;ZZ&lt;/UOM&gt;</w:t>
              <w:br/>
              <w:t xml:space="preserve">      &lt;CURRENCY&gt;XXX&lt;/CURRENCY&gt;</w:t>
              <w:br/>
              <w:t xml:space="preserve">      &lt;SOLDTO&gt;00000000&lt;/SOLDTO&gt;</w:t>
              <w:br/>
              <w:t xml:space="preserve">      &lt;STYLE_NO&gt;TAMFD30TAR&lt;/STYLE_NO&gt;</w:t>
              <w:br/>
              <w:t xml:space="preserve">      &lt;COLCD&gt;JS0&lt;/COLCD&gt;</w:t>
              <w:br/>
              <w:t xml:space="preserve">      &lt;TEAMKEY&gt;817&lt;/TEAMKEY&gt;</w:t>
              <w:br/>
              <w:t xml:space="preserve">      &lt;SIZ&gt;M &lt;/SIZ&gt;</w:t>
              <w:br/>
              <w:t xml:space="preserve">      &lt;LOGOCD&gt;4YV&lt;/LOGOCD&gt;</w:t>
              <w:br/>
              <w:t xml:space="preserve">      &lt;PACKNOTES&gt;HWSF&lt;/PACKNOTES&gt;</w:t>
              <w:br/>
              <w:t xml:space="preserve">    &lt;/row&gt;</w:t>
              <w:br/>
              <w:t xml:space="preserve">  &lt;/select_response&gt;</w:t>
              <w:br/>
              <w:t>&lt;/ROOT&gt;</w:t>
            </w:r>
          </w:p>
        </w:tc>
      </w:tr>
      <w:tr>
        <w:tc>
          <w:tcPr>
            <w:tcW w:type="dxa" w:w="4320"/>
          </w:tcPr>
          <w:p>
            <w:r>
              <w:t>Component Version</w:t>
            </w:r>
          </w:p>
        </w:tc>
        <w:tc>
          <w:tcPr>
            <w:tcW w:type="dxa" w:w="4320"/>
          </w:tcPr>
          <w:p>
            <w:r>
              <w:t>1.6</w:t>
            </w:r>
          </w:p>
        </w:tc>
      </w:tr>
      <w:tr>
        <w:tc>
          <w:tcPr>
            <w:tcW w:type="dxa" w:w="4320"/>
          </w:tcPr>
          <w:p>
            <w:r>
              <w:t>Activity Type</w:t>
            </w:r>
          </w:p>
        </w:tc>
        <w:tc>
          <w:tcPr>
            <w:tcW w:type="dxa" w:w="4320"/>
          </w:tcPr>
          <w:p>
            <w:r>
              <w:t>Enricher</w:t>
            </w:r>
          </w:p>
        </w:tc>
      </w:tr>
      <w:tr>
        <w:tc>
          <w:tcPr>
            <w:tcW w:type="dxa" w:w="4320"/>
          </w:tcPr>
          <w:p>
            <w:r>
              <w:t>Cmd Variant Uri</w:t>
            </w:r>
          </w:p>
        </w:tc>
        <w:tc>
          <w:tcPr>
            <w:tcW w:type="dxa" w:w="4320"/>
          </w:tcPr>
          <w:p>
            <w:r>
              <w:t>ctype::FlowstepVariant/cname::Enricher/version::1.6.0</w:t>
            </w:r>
          </w:p>
        </w:tc>
      </w:tr>
    </w:tbl>
    <w:p>
      <w:pPr>
        <w:pStyle w:val="Heading3"/>
      </w:pPr>
      <w:r>
        <w:t>callActivity Content Modifier 3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Body Type</w:t>
            </w:r>
          </w:p>
        </w:tc>
        <w:tc>
          <w:tcPr>
            <w:tcW w:type="dxa" w:w="4320"/>
          </w:tcPr>
          <w:p>
            <w:r>
              <w:t>constant</w:t>
            </w:r>
          </w:p>
        </w:tc>
      </w:tr>
      <w:tr>
        <w:tc>
          <w:tcPr>
            <w:tcW w:type="dxa" w:w="4320"/>
          </w:tcPr>
          <w:p>
            <w:r>
              <w:t>Property Table</w:t>
            </w:r>
          </w:p>
        </w:tc>
        <w:tc>
          <w:tcPr>
            <w:tcW w:type="dxa" w:w="4320"/>
          </w:tcPr>
          <w:p>
            <w:r/>
          </w:p>
        </w:tc>
      </w:tr>
      <w:tr>
        <w:tc>
          <w:tcPr>
            <w:tcW w:type="dxa" w:w="4320"/>
          </w:tcPr>
          <w:p>
            <w:r>
              <w:t>Header Table</w:t>
            </w:r>
          </w:p>
        </w:tc>
        <w:tc>
          <w:tcPr>
            <w:tcW w:type="dxa" w:w="4320"/>
          </w:tcPr>
          <w:p>
            <w:r>
              <w:t>&lt;row&gt;&lt;cell id='Action'&gt;Create&lt;/cell&gt;&lt;cell id='Type'&gt;xpath&lt;/cell&gt;&lt;cell id='Value'&gt;//A_SalesContractItemType/Material&lt;/cell&gt;&lt;cell id='Default'&gt;&lt;/cell&gt;&lt;cell id='Name'&gt;Mat2&lt;/cell&gt;&lt;cell id='Datatype'&gt;java.lang.String&lt;/cell&gt;&lt;/row&gt;</w:t>
            </w:r>
          </w:p>
        </w:tc>
      </w:tr>
      <w:tr>
        <w:tc>
          <w:tcPr>
            <w:tcW w:type="dxa" w:w="4320"/>
          </w:tcPr>
          <w:p>
            <w:r>
              <w:t>Wrap Content</w:t>
            </w:r>
          </w:p>
        </w:tc>
        <w:tc>
          <w:tcPr>
            <w:tcW w:type="dxa" w:w="4320"/>
          </w:tcPr>
          <w:p>
            <w:r/>
          </w:p>
        </w:tc>
      </w:tr>
      <w:tr>
        <w:tc>
          <w:tcPr>
            <w:tcW w:type="dxa" w:w="4320"/>
          </w:tcPr>
          <w:p>
            <w:r>
              <w:t>Component Version</w:t>
            </w:r>
          </w:p>
        </w:tc>
        <w:tc>
          <w:tcPr>
            <w:tcW w:type="dxa" w:w="4320"/>
          </w:tcPr>
          <w:p>
            <w:r>
              <w:t>1.6</w:t>
            </w:r>
          </w:p>
        </w:tc>
      </w:tr>
      <w:tr>
        <w:tc>
          <w:tcPr>
            <w:tcW w:type="dxa" w:w="4320"/>
          </w:tcPr>
          <w:p>
            <w:r>
              <w:t>Activity Type</w:t>
            </w:r>
          </w:p>
        </w:tc>
        <w:tc>
          <w:tcPr>
            <w:tcW w:type="dxa" w:w="4320"/>
          </w:tcPr>
          <w:p>
            <w:r>
              <w:t>Enricher</w:t>
            </w:r>
          </w:p>
        </w:tc>
      </w:tr>
      <w:tr>
        <w:tc>
          <w:tcPr>
            <w:tcW w:type="dxa" w:w="4320"/>
          </w:tcPr>
          <w:p>
            <w:r>
              <w:t>Cmd Variant Uri</w:t>
            </w:r>
          </w:p>
        </w:tc>
        <w:tc>
          <w:tcPr>
            <w:tcW w:type="dxa" w:w="4320"/>
          </w:tcPr>
          <w:p>
            <w:r>
              <w:t>ctype::FlowstepVariant/cname::Enricher/version::1.6.0</w:t>
            </w:r>
          </w:p>
        </w:tc>
      </w:tr>
    </w:tbl>
    <w:p>
      <w:pPr>
        <w:pStyle w:val="Heading3"/>
      </w:pPr>
      <w:r>
        <w:t>exclusiveGateway Router 1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Component Version</w:t>
            </w:r>
          </w:p>
        </w:tc>
        <w:tc>
          <w:tcPr>
            <w:tcW w:type="dxa" w:w="4320"/>
          </w:tcPr>
          <w:p>
            <w:r>
              <w:t>1.1</w:t>
            </w:r>
          </w:p>
        </w:tc>
      </w:tr>
      <w:tr>
        <w:tc>
          <w:tcPr>
            <w:tcW w:type="dxa" w:w="4320"/>
          </w:tcPr>
          <w:p>
            <w:r>
              <w:t>Activity Type</w:t>
            </w:r>
          </w:p>
        </w:tc>
        <w:tc>
          <w:tcPr>
            <w:tcW w:type="dxa" w:w="4320"/>
          </w:tcPr>
          <w:p>
            <w:r>
              <w:t>ExclusiveGateway</w:t>
            </w:r>
          </w:p>
        </w:tc>
      </w:tr>
      <w:tr>
        <w:tc>
          <w:tcPr>
            <w:tcW w:type="dxa" w:w="4320"/>
          </w:tcPr>
          <w:p>
            <w:r>
              <w:t>Cmd Variant Uri</w:t>
            </w:r>
          </w:p>
        </w:tc>
        <w:tc>
          <w:tcPr>
            <w:tcW w:type="dxa" w:w="4320"/>
          </w:tcPr>
          <w:p>
            <w:r>
              <w:t>ctype::FlowstepVariant/cname::ExclusiveGateway/version::1.1.2</w:t>
            </w:r>
          </w:p>
        </w:tc>
      </w:tr>
      <w:tr>
        <w:tc>
          <w:tcPr>
            <w:tcW w:type="dxa" w:w="4320"/>
          </w:tcPr>
          <w:p>
            <w:r>
              <w:t>Throw Exception</w:t>
            </w:r>
          </w:p>
        </w:tc>
        <w:tc>
          <w:tcPr>
            <w:tcW w:type="dxa" w:w="4320"/>
          </w:tcPr>
          <w:p>
            <w:r>
              <w:t>false</w:t>
            </w:r>
          </w:p>
        </w:tc>
      </w:tr>
    </w:tbl>
    <w:p>
      <w:pPr>
        <w:pStyle w:val="Heading3"/>
      </w:pPr>
      <w:r>
        <w:t>startEvent Start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Component Version</w:t>
            </w:r>
          </w:p>
        </w:tc>
        <w:tc>
          <w:tcPr>
            <w:tcW w:type="dxa" w:w="4320"/>
          </w:tcPr>
          <w:p>
            <w:r>
              <w:t>1.0</w:t>
            </w:r>
          </w:p>
        </w:tc>
      </w:tr>
      <w:tr>
        <w:tc>
          <w:tcPr>
            <w:tcW w:type="dxa" w:w="4320"/>
          </w:tcPr>
          <w:p>
            <w:r>
              <w:t>Cmd Variant Uri</w:t>
            </w:r>
          </w:p>
        </w:tc>
        <w:tc>
          <w:tcPr>
            <w:tcW w:type="dxa" w:w="4320"/>
          </w:tcPr>
          <w:p>
            <w:r>
              <w:t>ctype::FlowstepVariant/cname::MessageStartEvent/version::1.0</w:t>
            </w:r>
          </w:p>
        </w:tc>
      </w:tr>
    </w:tbl>
    <w:p>
      <w:pPr>
        <w:pStyle w:val="Heading3"/>
      </w:pPr>
      <w:r>
        <w:t>callActivity General Splitter 1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Expr Type</w:t>
            </w:r>
          </w:p>
        </w:tc>
        <w:tc>
          <w:tcPr>
            <w:tcW w:type="dxa" w:w="4320"/>
          </w:tcPr>
          <w:p>
            <w:r>
              <w:t>XPath</w:t>
            </w:r>
          </w:p>
        </w:tc>
      </w:tr>
      <w:tr>
        <w:tc>
          <w:tcPr>
            <w:tcW w:type="dxa" w:w="4320"/>
          </w:tcPr>
          <w:p>
            <w:r>
              <w:t>Streaming</w:t>
            </w:r>
          </w:p>
        </w:tc>
        <w:tc>
          <w:tcPr>
            <w:tcW w:type="dxa" w:w="4320"/>
          </w:tcPr>
          <w:p>
            <w:r>
              <w:t>true</w:t>
            </w:r>
          </w:p>
        </w:tc>
      </w:tr>
      <w:tr>
        <w:tc>
          <w:tcPr>
            <w:tcW w:type="dxa" w:w="4320"/>
          </w:tcPr>
          <w:p>
            <w:r>
              <w:t>Stop On Execution</w:t>
            </w:r>
          </w:p>
        </w:tc>
        <w:tc>
          <w:tcPr>
            <w:tcW w:type="dxa" w:w="4320"/>
          </w:tcPr>
          <w:p>
            <w:r>
              <w:t>true</w:t>
            </w:r>
          </w:p>
        </w:tc>
      </w:tr>
      <w:tr>
        <w:tc>
          <w:tcPr>
            <w:tcW w:type="dxa" w:w="4320"/>
          </w:tcPr>
          <w:p>
            <w:r>
              <w:t>Splitter Threads</w:t>
            </w:r>
          </w:p>
        </w:tc>
        <w:tc>
          <w:tcPr>
            <w:tcW w:type="dxa" w:w="4320"/>
          </w:tcPr>
          <w:p>
            <w:r>
              <w:t>10</w:t>
            </w:r>
          </w:p>
        </w:tc>
      </w:tr>
      <w:tr>
        <w:tc>
          <w:tcPr>
            <w:tcW w:type="dxa" w:w="4320"/>
          </w:tcPr>
          <w:p>
            <w:r>
              <w:t>Split Expr Value</w:t>
            </w:r>
          </w:p>
        </w:tc>
        <w:tc>
          <w:tcPr>
            <w:tcW w:type="dxa" w:w="4320"/>
          </w:tcPr>
          <w:p>
            <w:r>
              <w:t>/batchPartResponse/batchChangeSetResponse/batchChangeSetPartResponse</w:t>
            </w:r>
          </w:p>
        </w:tc>
      </w:tr>
      <w:tr>
        <w:tc>
          <w:tcPr>
            <w:tcW w:type="dxa" w:w="4320"/>
          </w:tcPr>
          <w:p>
            <w:r>
              <w:t>Parallel Processing</w:t>
            </w:r>
          </w:p>
        </w:tc>
        <w:tc>
          <w:tcPr>
            <w:tcW w:type="dxa" w:w="4320"/>
          </w:tcPr>
          <w:p>
            <w:r>
              <w:t>false</w:t>
            </w:r>
          </w:p>
        </w:tc>
      </w:tr>
      <w:tr>
        <w:tc>
          <w:tcPr>
            <w:tcW w:type="dxa" w:w="4320"/>
          </w:tcPr>
          <w:p>
            <w:r>
              <w:t>Component Version</w:t>
            </w:r>
          </w:p>
        </w:tc>
        <w:tc>
          <w:tcPr>
            <w:tcW w:type="dxa" w:w="4320"/>
          </w:tcPr>
          <w:p>
            <w:r>
              <w:t>1.6</w:t>
            </w:r>
          </w:p>
        </w:tc>
      </w:tr>
      <w:tr>
        <w:tc>
          <w:tcPr>
            <w:tcW w:type="dxa" w:w="4320"/>
          </w:tcPr>
          <w:p>
            <w:r>
              <w:t>Activity Type</w:t>
            </w:r>
          </w:p>
        </w:tc>
        <w:tc>
          <w:tcPr>
            <w:tcW w:type="dxa" w:w="4320"/>
          </w:tcPr>
          <w:p>
            <w:r>
              <w:t>Splitter</w:t>
            </w:r>
          </w:p>
        </w:tc>
      </w:tr>
      <w:tr>
        <w:tc>
          <w:tcPr>
            <w:tcW w:type="dxa" w:w="4320"/>
          </w:tcPr>
          <w:p>
            <w:r>
              <w:t>Cmd Variant Uri</w:t>
            </w:r>
          </w:p>
        </w:tc>
        <w:tc>
          <w:tcPr>
            <w:tcW w:type="dxa" w:w="4320"/>
          </w:tcPr>
          <w:p>
            <w:r>
              <w:t>ctype::FlowstepVariant/cname::GeneralSplitter/version::1.6.0</w:t>
            </w:r>
          </w:p>
        </w:tc>
      </w:tr>
      <w:tr>
        <w:tc>
          <w:tcPr>
            <w:tcW w:type="dxa" w:w="4320"/>
          </w:tcPr>
          <w:p>
            <w:r>
              <w:t>Grouping</w:t>
            </w:r>
          </w:p>
        </w:tc>
        <w:tc>
          <w:tcPr>
            <w:tcW w:type="dxa" w:w="4320"/>
          </w:tcPr>
          <w:p>
            <w:r>
              <w:t>1</w:t>
            </w:r>
          </w:p>
        </w:tc>
      </w:tr>
      <w:tr>
        <w:tc>
          <w:tcPr>
            <w:tcW w:type="dxa" w:w="4320"/>
          </w:tcPr>
          <w:p>
            <w:r>
              <w:t>Split Type</w:t>
            </w:r>
          </w:p>
        </w:tc>
        <w:tc>
          <w:tcPr>
            <w:tcW w:type="dxa" w:w="4320"/>
          </w:tcPr>
          <w:p>
            <w:r>
              <w:t>GeneralSplitter</w:t>
            </w:r>
          </w:p>
        </w:tc>
      </w:tr>
      <w:tr>
        <w:tc>
          <w:tcPr>
            <w:tcW w:type="dxa" w:w="4320"/>
          </w:tcPr>
          <w:p>
            <w:r>
              <w:t>Time Out</w:t>
            </w:r>
          </w:p>
        </w:tc>
        <w:tc>
          <w:tcPr>
            <w:tcW w:type="dxa" w:w="4320"/>
          </w:tcPr>
          <w:p>
            <w:r>
              <w:t>300</w:t>
            </w:r>
          </w:p>
        </w:tc>
      </w:tr>
    </w:tbl>
    <w:p>
      <w:pPr>
        <w:pStyle w:val="Heading3"/>
      </w:pPr>
      <w:r>
        <w:t>callActivity Message Mapping 1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Mappinguri</w:t>
            </w:r>
          </w:p>
        </w:tc>
        <w:tc>
          <w:tcPr>
            <w:tcW w:type="dxa" w:w="4320"/>
          </w:tcPr>
          <w:p>
            <w:r>
              <w:t>dir://mmap/src/main/resources/mapping/Bulk2.mmap</w:t>
            </w:r>
          </w:p>
        </w:tc>
      </w:tr>
      <w:tr>
        <w:tc>
          <w:tcPr>
            <w:tcW w:type="dxa" w:w="4320"/>
          </w:tcPr>
          <w:p>
            <w:r>
              <w:t>Mappingname</w:t>
            </w:r>
          </w:p>
        </w:tc>
        <w:tc>
          <w:tcPr>
            <w:tcW w:type="dxa" w:w="4320"/>
          </w:tcPr>
          <w:p>
            <w:r>
              <w:t>Bulk2</w:t>
            </w:r>
          </w:p>
        </w:tc>
      </w:tr>
      <w:tr>
        <w:tc>
          <w:tcPr>
            <w:tcW w:type="dxa" w:w="4320"/>
          </w:tcPr>
          <w:p>
            <w:r>
              <w:t>Mapping Source Value</w:t>
            </w:r>
          </w:p>
        </w:tc>
        <w:tc>
          <w:tcPr>
            <w:tcW w:type="dxa" w:w="4320"/>
          </w:tcPr>
          <w:p>
            <w:r/>
          </w:p>
        </w:tc>
      </w:tr>
      <w:tr>
        <w:tc>
          <w:tcPr>
            <w:tcW w:type="dxa" w:w="4320"/>
          </w:tcPr>
          <w:p>
            <w:r>
              <w:t>Mapping Type</w:t>
            </w:r>
          </w:p>
        </w:tc>
        <w:tc>
          <w:tcPr>
            <w:tcW w:type="dxa" w:w="4320"/>
          </w:tcPr>
          <w:p>
            <w:r>
              <w:t>MessageMapping</w:t>
            </w:r>
          </w:p>
        </w:tc>
      </w:tr>
      <w:tr>
        <w:tc>
          <w:tcPr>
            <w:tcW w:type="dxa" w:w="4320"/>
          </w:tcPr>
          <w:p>
            <w:r>
              <w:t>Mapping Reference</w:t>
            </w:r>
          </w:p>
        </w:tc>
        <w:tc>
          <w:tcPr>
            <w:tcW w:type="dxa" w:w="4320"/>
          </w:tcPr>
          <w:p>
            <w:r>
              <w:t>static</w:t>
            </w:r>
          </w:p>
        </w:tc>
      </w:tr>
      <w:tr>
        <w:tc>
          <w:tcPr>
            <w:tcW w:type="dxa" w:w="4320"/>
          </w:tcPr>
          <w:p>
            <w:r>
              <w:t>Mappingpath</w:t>
            </w:r>
          </w:p>
        </w:tc>
        <w:tc>
          <w:tcPr>
            <w:tcW w:type="dxa" w:w="4320"/>
          </w:tcPr>
          <w:p>
            <w:r>
              <w:t>src/main/resources/mapping/Bulk2</w:t>
            </w:r>
          </w:p>
        </w:tc>
      </w:tr>
      <w:tr>
        <w:tc>
          <w:tcPr>
            <w:tcW w:type="dxa" w:w="4320"/>
          </w:tcPr>
          <w:p>
            <w:r>
              <w:t>Component Version</w:t>
            </w:r>
          </w:p>
        </w:tc>
        <w:tc>
          <w:tcPr>
            <w:tcW w:type="dxa" w:w="4320"/>
          </w:tcPr>
          <w:p>
            <w:r>
              <w:t>1.3</w:t>
            </w:r>
          </w:p>
        </w:tc>
      </w:tr>
      <w:tr>
        <w:tc>
          <w:tcPr>
            <w:tcW w:type="dxa" w:w="4320"/>
          </w:tcPr>
          <w:p>
            <w:r>
              <w:t>Activity Type</w:t>
            </w:r>
          </w:p>
        </w:tc>
        <w:tc>
          <w:tcPr>
            <w:tcW w:type="dxa" w:w="4320"/>
          </w:tcPr>
          <w:p>
            <w:r>
              <w:t>Mapping</w:t>
            </w:r>
          </w:p>
        </w:tc>
      </w:tr>
      <w:tr>
        <w:tc>
          <w:tcPr>
            <w:tcW w:type="dxa" w:w="4320"/>
          </w:tcPr>
          <w:p>
            <w:r>
              <w:t>Cmd Variant Uri</w:t>
            </w:r>
          </w:p>
        </w:tc>
        <w:tc>
          <w:tcPr>
            <w:tcW w:type="dxa" w:w="4320"/>
          </w:tcPr>
          <w:p>
            <w:r>
              <w:t>ctype::FlowstepVariant/cname::MessageMapping/version::1.3.1</w:t>
            </w:r>
          </w:p>
        </w:tc>
      </w:tr>
      <w:tr>
        <w:tc>
          <w:tcPr>
            <w:tcW w:type="dxa" w:w="4320"/>
          </w:tcPr>
          <w:p>
            <w:r>
              <w:t>Message Mapping Bundle Id</w:t>
            </w:r>
          </w:p>
        </w:tc>
        <w:tc>
          <w:tcPr>
            <w:tcW w:type="dxa" w:w="4320"/>
          </w:tcPr>
          <w:p>
            <w:r/>
          </w:p>
        </w:tc>
      </w:tr>
    </w:tbl>
    <w:p>
      <w:pPr>
        <w:pStyle w:val="Heading3"/>
      </w:pPr>
      <w:r>
        <w:t>callActivity Write 1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Visibility</w:t>
            </w:r>
          </w:p>
        </w:tc>
        <w:tc>
          <w:tcPr>
            <w:tcW w:type="dxa" w:w="4320"/>
          </w:tcPr>
          <w:p>
            <w:r>
              <w:t>global</w:t>
            </w:r>
          </w:p>
        </w:tc>
      </w:tr>
      <w:tr>
        <w:tc>
          <w:tcPr>
            <w:tcW w:type="dxa" w:w="4320"/>
          </w:tcPr>
          <w:p>
            <w:r>
              <w:t>Alert</w:t>
            </w:r>
          </w:p>
        </w:tc>
        <w:tc>
          <w:tcPr>
            <w:tcW w:type="dxa" w:w="4320"/>
          </w:tcPr>
          <w:p>
            <w:r>
              <w:t>2</w:t>
            </w:r>
          </w:p>
        </w:tc>
      </w:tr>
      <w:tr>
        <w:tc>
          <w:tcPr>
            <w:tcW w:type="dxa" w:w="4320"/>
          </w:tcPr>
          <w:p>
            <w:r>
              <w:t>Encrypt</w:t>
            </w:r>
          </w:p>
        </w:tc>
        <w:tc>
          <w:tcPr>
            <w:tcW w:type="dxa" w:w="4320"/>
          </w:tcPr>
          <w:p>
            <w:r>
              <w:t>true</w:t>
            </w:r>
          </w:p>
        </w:tc>
      </w:tr>
      <w:tr>
        <w:tc>
          <w:tcPr>
            <w:tcW w:type="dxa" w:w="4320"/>
          </w:tcPr>
          <w:p>
            <w:r>
              <w:t>Expire</w:t>
            </w:r>
          </w:p>
        </w:tc>
        <w:tc>
          <w:tcPr>
            <w:tcW w:type="dxa" w:w="4320"/>
          </w:tcPr>
          <w:p>
            <w:r>
              <w:t>30</w:t>
            </w:r>
          </w:p>
        </w:tc>
      </w:tr>
      <w:tr>
        <w:tc>
          <w:tcPr>
            <w:tcW w:type="dxa" w:w="4320"/>
          </w:tcPr>
          <w:p>
            <w:r>
              <w:t>Message Id</w:t>
            </w:r>
          </w:p>
        </w:tc>
        <w:tc>
          <w:tcPr>
            <w:tcW w:type="dxa" w:w="4320"/>
          </w:tcPr>
          <w:p>
            <w:r>
              <w:t>Post_BO_SV</w:t>
            </w:r>
          </w:p>
        </w:tc>
      </w:tr>
      <w:tr>
        <w:tc>
          <w:tcPr>
            <w:tcW w:type="dxa" w:w="4320"/>
          </w:tcPr>
          <w:p>
            <w:r>
              <w:t>Component Version</w:t>
            </w:r>
          </w:p>
        </w:tc>
        <w:tc>
          <w:tcPr>
            <w:tcW w:type="dxa" w:w="4320"/>
          </w:tcPr>
          <w:p>
            <w:r>
              <w:t>1.7</w:t>
            </w:r>
          </w:p>
        </w:tc>
      </w:tr>
      <w:tr>
        <w:tc>
          <w:tcPr>
            <w:tcW w:type="dxa" w:w="4320"/>
          </w:tcPr>
          <w:p>
            <w:r>
              <w:t>Override</w:t>
            </w:r>
          </w:p>
        </w:tc>
        <w:tc>
          <w:tcPr>
            <w:tcW w:type="dxa" w:w="4320"/>
          </w:tcPr>
          <w:p>
            <w:r>
              <w:t>true</w:t>
            </w:r>
          </w:p>
        </w:tc>
      </w:tr>
      <w:tr>
        <w:tc>
          <w:tcPr>
            <w:tcW w:type="dxa" w:w="4320"/>
          </w:tcPr>
          <w:p>
            <w:r>
              <w:t>Activity Type</w:t>
            </w:r>
          </w:p>
        </w:tc>
        <w:tc>
          <w:tcPr>
            <w:tcW w:type="dxa" w:w="4320"/>
          </w:tcPr>
          <w:p>
            <w:r>
              <w:t>DBstorage</w:t>
            </w:r>
          </w:p>
        </w:tc>
      </w:tr>
      <w:tr>
        <w:tc>
          <w:tcPr>
            <w:tcW w:type="dxa" w:w="4320"/>
          </w:tcPr>
          <w:p>
            <w:r>
              <w:t>Cmd Variant Uri</w:t>
            </w:r>
          </w:p>
        </w:tc>
        <w:tc>
          <w:tcPr>
            <w:tcW w:type="dxa" w:w="4320"/>
          </w:tcPr>
          <w:p>
            <w:r>
              <w:t>ctype::FlowstepVariant/cname::put/version::1.7.1</w:t>
            </w:r>
          </w:p>
        </w:tc>
      </w:tr>
      <w:tr>
        <w:tc>
          <w:tcPr>
            <w:tcW w:type="dxa" w:w="4320"/>
          </w:tcPr>
          <w:p>
            <w:r>
              <w:t>Operation</w:t>
            </w:r>
          </w:p>
        </w:tc>
        <w:tc>
          <w:tcPr>
            <w:tcW w:type="dxa" w:w="4320"/>
          </w:tcPr>
          <w:p>
            <w:r>
              <w:t>put</w:t>
            </w:r>
          </w:p>
        </w:tc>
      </w:tr>
      <w:tr>
        <w:tc>
          <w:tcPr>
            <w:tcW w:type="dxa" w:w="4320"/>
          </w:tcPr>
          <w:p>
            <w:r>
              <w:t>Storage Name</w:t>
            </w:r>
          </w:p>
        </w:tc>
        <w:tc>
          <w:tcPr>
            <w:tcW w:type="dxa" w:w="4320"/>
          </w:tcPr>
          <w:p>
            <w:r>
              <w:t>Post_BO_SV</w:t>
            </w:r>
          </w:p>
        </w:tc>
      </w:tr>
      <w:tr>
        <w:tc>
          <w:tcPr>
            <w:tcW w:type="dxa" w:w="4320"/>
          </w:tcPr>
          <w:p>
            <w:r>
              <w:t>Include Message Headers</w:t>
            </w:r>
          </w:p>
        </w:tc>
        <w:tc>
          <w:tcPr>
            <w:tcW w:type="dxa" w:w="4320"/>
          </w:tcPr>
          <w:p>
            <w:r>
              <w:t>false</w:t>
            </w:r>
          </w:p>
        </w:tc>
      </w:tr>
    </w:tbl>
    <w:p>
      <w:pPr>
        <w:pStyle w:val="Heading3"/>
      </w:pPr>
      <w:r>
        <w:t>sequenceFlow Route 1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Expression Type</w:t>
            </w:r>
          </w:p>
        </w:tc>
        <w:tc>
          <w:tcPr>
            <w:tcW w:type="dxa" w:w="4320"/>
          </w:tcPr>
          <w:p>
            <w:r>
              <w:t>XML</w:t>
            </w:r>
          </w:p>
        </w:tc>
      </w:tr>
      <w:tr>
        <w:tc>
          <w:tcPr>
            <w:tcW w:type="dxa" w:w="4320"/>
          </w:tcPr>
          <w:p>
            <w:r>
              <w:t>Component Version</w:t>
            </w:r>
          </w:p>
        </w:tc>
        <w:tc>
          <w:tcPr>
            <w:tcW w:type="dxa" w:w="4320"/>
          </w:tcPr>
          <w:p>
            <w:r>
              <w:t>1.0</w:t>
            </w:r>
          </w:p>
        </w:tc>
      </w:tr>
      <w:tr>
        <w:tc>
          <w:tcPr>
            <w:tcW w:type="dxa" w:w="4320"/>
          </w:tcPr>
          <w:p>
            <w:r>
              <w:t>Cmd Variant Uri</w:t>
            </w:r>
          </w:p>
        </w:tc>
        <w:tc>
          <w:tcPr>
            <w:tcW w:type="dxa" w:w="4320"/>
          </w:tcPr>
          <w:p>
            <w:r>
              <w:t>ctype::FlowstepVariant/cname::GatewayRoute/version::1.0.0</w:t>
            </w:r>
          </w:p>
        </w:tc>
      </w:tr>
    </w:tbl>
    <w:p>
      <w:pPr>
        <w:pStyle w:val="Heading3"/>
      </w:pPr>
      <w:r>
        <w:t>sequenceFlow Route 2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Expression Type</w:t>
            </w:r>
          </w:p>
        </w:tc>
        <w:tc>
          <w:tcPr>
            <w:tcW w:type="dxa" w:w="4320"/>
          </w:tcPr>
          <w:p>
            <w:r>
              <w:t>XML</w:t>
            </w:r>
          </w:p>
        </w:tc>
      </w:tr>
      <w:tr>
        <w:tc>
          <w:tcPr>
            <w:tcW w:type="dxa" w:w="4320"/>
          </w:tcPr>
          <w:p>
            <w:r>
              <w:t>Component Version</w:t>
            </w:r>
          </w:p>
        </w:tc>
        <w:tc>
          <w:tcPr>
            <w:tcW w:type="dxa" w:w="4320"/>
          </w:tcPr>
          <w:p>
            <w:r>
              <w:t>1.0</w:t>
            </w:r>
          </w:p>
        </w:tc>
      </w:tr>
      <w:tr>
        <w:tc>
          <w:tcPr>
            <w:tcW w:type="dxa" w:w="4320"/>
          </w:tcPr>
          <w:p>
            <w:r>
              <w:t>Cmd Variant Uri</w:t>
            </w:r>
          </w:p>
        </w:tc>
        <w:tc>
          <w:tcPr>
            <w:tcW w:type="dxa" w:w="4320"/>
          </w:tcPr>
          <w:p>
            <w:r>
              <w:t>ctype::FlowstepVariant/cname::GatewayRoute/version::1.0.0</w:t>
            </w:r>
          </w:p>
        </w:tc>
      </w:tr>
    </w:tbl>
    <w:p>
      <w:pPr>
        <w:pStyle w:val="Heading2"/>
      </w:pPr>
      <w:r>
        <w:t xml:space="preserve">5.2. Local Integration Process </w:t>
      </w:r>
    </w:p>
    <w:p>
      <w:r>
        <w:rPr>
          <w:b w:val="0"/>
          <w:i w:val="0"/>
          <w:sz w:val="24"/>
        </w:rPr>
      </w:r>
    </w:p>
    <w:p>
      <w:r>
        <w:rPr>
          <w:b w:val="0"/>
          <w:i w:val="0"/>
          <w:sz w:val="24"/>
        </w:rPr>
        <w:t>No process with id='Process_1' found.</w:t>
      </w:r>
    </w:p>
    <w:p>
      <w:pPr>
        <w:pStyle w:val="Heading2"/>
      </w:pPr>
      <w:r>
        <w:t>5.3. Sender</w:t>
      </w:r>
    </w:p>
    <w:p>
      <w:r>
        <w:rPr>
          <w:b w:val="0"/>
          <w:i w:val="0"/>
          <w:sz w:val="24"/>
        </w:rPr>
        <w:t>The sender system is identified as "Sender" and utilizes the HTTPS protocol for communication.  Authentication is role-based, requiring the "ESBMessaging.send" role. The endpoint's URL path is `/post_bulk/order_sv`, and the maximum body size is limited to 40 (likely kilobytes or megabytes, but the unit isn't specified). This endpoint's business role is to receive external bulk order data via HTTPS, requiring the necessary authorization. XSRF protection is disabled.</w:t>
        <w:br/>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Component Type</w:t>
            </w:r>
          </w:p>
        </w:tc>
        <w:tc>
          <w:tcPr>
            <w:tcW w:type="dxa" w:w="4320"/>
          </w:tcPr>
          <w:p>
            <w:r>
              <w:t>HTTPS</w:t>
            </w:r>
          </w:p>
        </w:tc>
      </w:tr>
      <w:tr>
        <w:tc>
          <w:tcPr>
            <w:tcW w:type="dxa" w:w="4320"/>
          </w:tcPr>
          <w:p>
            <w:r>
              <w:t>Description</w:t>
            </w:r>
          </w:p>
        </w:tc>
        <w:tc>
          <w:tcPr>
            <w:tcW w:type="dxa" w:w="4320"/>
          </w:tcPr>
          <w:p>
            <w:r/>
          </w:p>
        </w:tc>
      </w:tr>
      <w:tr>
        <w:tc>
          <w:tcPr>
            <w:tcW w:type="dxa" w:w="4320"/>
          </w:tcPr>
          <w:p>
            <w:r>
              <w:t>Maximum Body Size</w:t>
            </w:r>
          </w:p>
        </w:tc>
        <w:tc>
          <w:tcPr>
            <w:tcW w:type="dxa" w:w="4320"/>
          </w:tcPr>
          <w:p>
            <w:r>
              <w:t>40</w:t>
            </w:r>
          </w:p>
        </w:tc>
      </w:tr>
      <w:tr>
        <w:tc>
          <w:tcPr>
            <w:tcW w:type="dxa" w:w="4320"/>
          </w:tcPr>
          <w:p>
            <w:r>
              <w:t>Component N S</w:t>
            </w:r>
          </w:p>
        </w:tc>
        <w:tc>
          <w:tcPr>
            <w:tcW w:type="dxa" w:w="4320"/>
          </w:tcPr>
          <w:p>
            <w:r>
              <w:t>sap</w:t>
            </w:r>
          </w:p>
        </w:tc>
      </w:tr>
      <w:tr>
        <w:tc>
          <w:tcPr>
            <w:tcW w:type="dxa" w:w="4320"/>
          </w:tcPr>
          <w:p>
            <w:r>
              <w:t>Component Version</w:t>
            </w:r>
          </w:p>
        </w:tc>
        <w:tc>
          <w:tcPr>
            <w:tcW w:type="dxa" w:w="4320"/>
          </w:tcPr>
          <w:p>
            <w:r>
              <w:t>1.5</w:t>
            </w:r>
          </w:p>
        </w:tc>
      </w:tr>
      <w:tr>
        <w:tc>
          <w:tcPr>
            <w:tcW w:type="dxa" w:w="4320"/>
          </w:tcPr>
          <w:p>
            <w:r>
              <w:t>Url Path</w:t>
            </w:r>
          </w:p>
        </w:tc>
        <w:tc>
          <w:tcPr>
            <w:tcW w:type="dxa" w:w="4320"/>
          </w:tcPr>
          <w:p>
            <w:r>
              <w:t>/post_bulk/order_sv</w:t>
            </w:r>
          </w:p>
        </w:tc>
      </w:tr>
      <w:tr>
        <w:tc>
          <w:tcPr>
            <w:tcW w:type="dxa" w:w="4320"/>
          </w:tcPr>
          <w:p>
            <w:r>
              <w:t>Name</w:t>
            </w:r>
          </w:p>
        </w:tc>
        <w:tc>
          <w:tcPr>
            <w:tcW w:type="dxa" w:w="4320"/>
          </w:tcPr>
          <w:p>
            <w:r>
              <w:t>HTTPS</w:t>
            </w:r>
          </w:p>
        </w:tc>
      </w:tr>
      <w:tr>
        <w:tc>
          <w:tcPr>
            <w:tcW w:type="dxa" w:w="4320"/>
          </w:tcPr>
          <w:p>
            <w:r>
              <w:t>Transport Protocol Version</w:t>
            </w:r>
          </w:p>
        </w:tc>
        <w:tc>
          <w:tcPr>
            <w:tcW w:type="dxa" w:w="4320"/>
          </w:tcPr>
          <w:p>
            <w:r>
              <w:t>1.5.2</w:t>
            </w:r>
          </w:p>
        </w:tc>
      </w:tr>
      <w:tr>
        <w:tc>
          <w:tcPr>
            <w:tcW w:type="dxa" w:w="4320"/>
          </w:tcPr>
          <w:p>
            <w:r>
              <w:t>Component S W C V Name</w:t>
            </w:r>
          </w:p>
        </w:tc>
        <w:tc>
          <w:tcPr>
            <w:tcW w:type="dxa" w:w="4320"/>
          </w:tcPr>
          <w:p>
            <w:r>
              <w:t>external</w:t>
            </w:r>
          </w:p>
        </w:tc>
      </w:tr>
      <w:tr>
        <w:tc>
          <w:tcPr>
            <w:tcW w:type="dxa" w:w="4320"/>
          </w:tcPr>
          <w:p>
            <w:r>
              <w:t>System</w:t>
            </w:r>
          </w:p>
        </w:tc>
        <w:tc>
          <w:tcPr>
            <w:tcW w:type="dxa" w:w="4320"/>
          </w:tcPr>
          <w:p>
            <w:r>
              <w:t>Sender</w:t>
            </w:r>
          </w:p>
        </w:tc>
      </w:tr>
      <w:tr>
        <w:tc>
          <w:tcPr>
            <w:tcW w:type="dxa" w:w="4320"/>
          </w:tcPr>
          <w:p>
            <w:r>
              <w:t>Xsrf Protection</w:t>
            </w:r>
          </w:p>
        </w:tc>
        <w:tc>
          <w:tcPr>
            <w:tcW w:type="dxa" w:w="4320"/>
          </w:tcPr>
          <w:p>
            <w:r>
              <w:t>0</w:t>
            </w:r>
          </w:p>
        </w:tc>
      </w:tr>
      <w:tr>
        <w:tc>
          <w:tcPr>
            <w:tcW w:type="dxa" w:w="4320"/>
          </w:tcPr>
          <w:p>
            <w:r>
              <w:t>Transport Protocol</w:t>
            </w:r>
          </w:p>
        </w:tc>
        <w:tc>
          <w:tcPr>
            <w:tcW w:type="dxa" w:w="4320"/>
          </w:tcPr>
          <w:p>
            <w:r>
              <w:t>HTTPS</w:t>
            </w:r>
          </w:p>
        </w:tc>
      </w:tr>
      <w:tr>
        <w:tc>
          <w:tcPr>
            <w:tcW w:type="dxa" w:w="4320"/>
          </w:tcPr>
          <w:p>
            <w:r>
              <w:t>Cmd Variant Uri</w:t>
            </w:r>
          </w:p>
        </w:tc>
        <w:tc>
          <w:tcPr>
            <w:tcW w:type="dxa" w:w="4320"/>
          </w:tcPr>
          <w:p>
            <w:r>
              <w:t>ctype::AdapterVariant/cname::sap:HTTPS/tp::HTTPS/mp::None/direction::Sender/version::1.5.2</w:t>
            </w:r>
          </w:p>
        </w:tc>
      </w:tr>
      <w:tr>
        <w:tc>
          <w:tcPr>
            <w:tcW w:type="dxa" w:w="4320"/>
          </w:tcPr>
          <w:p>
            <w:r>
              <w:t>User Role</w:t>
            </w:r>
          </w:p>
        </w:tc>
        <w:tc>
          <w:tcPr>
            <w:tcW w:type="dxa" w:w="4320"/>
          </w:tcPr>
          <w:p>
            <w:r>
              <w:t>ESBMessaging.send</w:t>
            </w:r>
          </w:p>
        </w:tc>
      </w:tr>
      <w:tr>
        <w:tc>
          <w:tcPr>
            <w:tcW w:type="dxa" w:w="4320"/>
          </w:tcPr>
          <w:p>
            <w:r>
              <w:t>Sender Auth Type</w:t>
            </w:r>
          </w:p>
        </w:tc>
        <w:tc>
          <w:tcPr>
            <w:tcW w:type="dxa" w:w="4320"/>
          </w:tcPr>
          <w:p>
            <w:r>
              <w:t>RoleBased</w:t>
            </w:r>
          </w:p>
        </w:tc>
      </w:tr>
      <w:tr>
        <w:tc>
          <w:tcPr>
            <w:tcW w:type="dxa" w:w="4320"/>
          </w:tcPr>
          <w:p>
            <w:r>
              <w:t>Message Protocol</w:t>
            </w:r>
          </w:p>
        </w:tc>
        <w:tc>
          <w:tcPr>
            <w:tcW w:type="dxa" w:w="4320"/>
          </w:tcPr>
          <w:p>
            <w:r>
              <w:t>None</w:t>
            </w:r>
          </w:p>
        </w:tc>
      </w:tr>
      <w:tr>
        <w:tc>
          <w:tcPr>
            <w:tcW w:type="dxa" w:w="4320"/>
          </w:tcPr>
          <w:p>
            <w:r>
              <w:t>Message Protocol Version</w:t>
            </w:r>
          </w:p>
        </w:tc>
        <w:tc>
          <w:tcPr>
            <w:tcW w:type="dxa" w:w="4320"/>
          </w:tcPr>
          <w:p>
            <w:r>
              <w:t>1.5.2</w:t>
            </w:r>
          </w:p>
        </w:tc>
      </w:tr>
      <w:tr>
        <w:tc>
          <w:tcPr>
            <w:tcW w:type="dxa" w:w="4320"/>
          </w:tcPr>
          <w:p>
            <w:r>
              <w:t>Component S W C V Id</w:t>
            </w:r>
          </w:p>
        </w:tc>
        <w:tc>
          <w:tcPr>
            <w:tcW w:type="dxa" w:w="4320"/>
          </w:tcPr>
          <w:p>
            <w:r>
              <w:t>1.5.2</w:t>
            </w:r>
          </w:p>
        </w:tc>
      </w:tr>
      <w:tr>
        <w:tc>
          <w:tcPr>
            <w:tcW w:type="dxa" w:w="4320"/>
          </w:tcPr>
          <w:p>
            <w:r>
              <w:t>Direction</w:t>
            </w:r>
          </w:p>
        </w:tc>
        <w:tc>
          <w:tcPr>
            <w:tcW w:type="dxa" w:w="4320"/>
          </w:tcPr>
          <w:p>
            <w:r>
              <w:t>Sender</w:t>
            </w:r>
          </w:p>
        </w:tc>
      </w:tr>
      <w:tr>
        <w:tc>
          <w:tcPr>
            <w:tcW w:type="dxa" w:w="4320"/>
          </w:tcPr>
          <w:p>
            <w:r>
              <w:t>Client Certificates</w:t>
            </w:r>
          </w:p>
        </w:tc>
        <w:tc>
          <w:tcPr>
            <w:tcW w:type="dxa" w:w="4320"/>
          </w:tcPr>
          <w:p>
            <w:r/>
          </w:p>
        </w:tc>
      </w:tr>
    </w:tbl>
    <w:p>
      <w:pPr>
        <w:pStyle w:val="Heading2"/>
      </w:pPr>
      <w:r>
        <w:t>5.4. Receiver</w:t>
      </w:r>
    </w:p>
    <w:p>
      <w:r>
        <w:rPr>
          <w:b w:val="0"/>
          <w:i w:val="0"/>
          <w:sz w:val="24"/>
        </w:rPr>
        <w:t>The receiver component is an OData V2 adapter (`sap:HCIOData`) configured for the HTTP transport protocol, version 1.25.0. It connects to the endpoint `http://sentrydev:44300/sap/opu/odata/sap/API_SALES_CONTRACT_SRV` for creating (`POST`) Sales Contract entities. The adapter uses basic authentication (`UST_S4_Cred` alias), an SAP Cloud Connector (SCC) proxy via `UST-OPTUM-CPI`, and leverages `A_SalesContract` as the resource path. Batch processing is enabled, TLS session reuse is activated, and content type specified is `application/atom+xml`. The EDMX file used is `edmx/sentrydev_44300_sap_opu_odata_sap_API_SALES_CONTRACT_SRV.edmx`.</w:t>
        <w:br/>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Description</w:t>
            </w:r>
          </w:p>
        </w:tc>
        <w:tc>
          <w:tcPr>
            <w:tcW w:type="dxa" w:w="4320"/>
          </w:tcPr>
          <w:p>
            <w:r/>
          </w:p>
        </w:tc>
      </w:tr>
      <w:tr>
        <w:tc>
          <w:tcPr>
            <w:tcW w:type="dxa" w:w="4320"/>
          </w:tcPr>
          <w:p>
            <w:r>
              <w:t>Pagination</w:t>
            </w:r>
          </w:p>
        </w:tc>
        <w:tc>
          <w:tcPr>
            <w:tcW w:type="dxa" w:w="4320"/>
          </w:tcPr>
          <w:p>
            <w:r>
              <w:t>0</w:t>
            </w:r>
          </w:p>
        </w:tc>
      </w:tr>
      <w:tr>
        <w:tc>
          <w:tcPr>
            <w:tcW w:type="dxa" w:w="4320"/>
          </w:tcPr>
          <w:p>
            <w:r>
              <w:t>Odata Cert Auth Private Key Alias</w:t>
            </w:r>
          </w:p>
        </w:tc>
        <w:tc>
          <w:tcPr>
            <w:tcW w:type="dxa" w:w="4320"/>
          </w:tcPr>
          <w:p>
            <w:r/>
          </w:p>
        </w:tc>
      </w:tr>
      <w:tr>
        <w:tc>
          <w:tcPr>
            <w:tcW w:type="dxa" w:w="4320"/>
          </w:tcPr>
          <w:p>
            <w:r>
              <w:t>Api Artifact Type</w:t>
            </w:r>
          </w:p>
        </w:tc>
        <w:tc>
          <w:tcPr>
            <w:tcW w:type="dxa" w:w="4320"/>
          </w:tcPr>
          <w:p>
            <w:r/>
          </w:p>
        </w:tc>
      </w:tr>
      <w:tr>
        <w:tc>
          <w:tcPr>
            <w:tcW w:type="dxa" w:w="4320"/>
          </w:tcPr>
          <w:p>
            <w:r>
              <w:t>Provider Auth</w:t>
            </w:r>
          </w:p>
        </w:tc>
        <w:tc>
          <w:tcPr>
            <w:tcW w:type="dxa" w:w="4320"/>
          </w:tcPr>
          <w:p>
            <w:r/>
          </w:p>
        </w:tc>
      </w:tr>
      <w:tr>
        <w:tc>
          <w:tcPr>
            <w:tcW w:type="dxa" w:w="4320"/>
          </w:tcPr>
          <w:p>
            <w:r>
              <w:t>Component N S</w:t>
            </w:r>
          </w:p>
        </w:tc>
        <w:tc>
          <w:tcPr>
            <w:tcW w:type="dxa" w:w="4320"/>
          </w:tcPr>
          <w:p>
            <w:r>
              <w:t>sap</w:t>
            </w:r>
          </w:p>
        </w:tc>
      </w:tr>
      <w:tr>
        <w:tc>
          <w:tcPr>
            <w:tcW w:type="dxa" w:w="4320"/>
          </w:tcPr>
          <w:p>
            <w:r>
              <w:t>Resource Path</w:t>
            </w:r>
          </w:p>
        </w:tc>
        <w:tc>
          <w:tcPr>
            <w:tcW w:type="dxa" w:w="4320"/>
          </w:tcPr>
          <w:p>
            <w:r>
              <w:t>A_SalesContract</w:t>
            </w:r>
          </w:p>
        </w:tc>
      </w:tr>
      <w:tr>
        <w:tc>
          <w:tcPr>
            <w:tcW w:type="dxa" w:w="4320"/>
          </w:tcPr>
          <w:p>
            <w:r>
              <w:t>Custom Query Options</w:t>
            </w:r>
          </w:p>
        </w:tc>
        <w:tc>
          <w:tcPr>
            <w:tcW w:type="dxa" w:w="4320"/>
          </w:tcPr>
          <w:p>
            <w:r/>
          </w:p>
        </w:tc>
      </w:tr>
      <w:tr>
        <w:tc>
          <w:tcPr>
            <w:tcW w:type="dxa" w:w="4320"/>
          </w:tcPr>
          <w:p>
            <w:r>
              <w:t>Metadata Allowed U R I Params</w:t>
            </w:r>
          </w:p>
        </w:tc>
        <w:tc>
          <w:tcPr>
            <w:tcW w:type="dxa" w:w="4320"/>
          </w:tcPr>
          <w:p>
            <w:r/>
          </w:p>
        </w:tc>
      </w:tr>
      <w:tr>
        <w:tc>
          <w:tcPr>
            <w:tcW w:type="dxa" w:w="4320"/>
          </w:tcPr>
          <w:p>
            <w:r>
              <w:t>Name</w:t>
            </w:r>
          </w:p>
        </w:tc>
        <w:tc>
          <w:tcPr>
            <w:tcW w:type="dxa" w:w="4320"/>
          </w:tcPr>
          <w:p>
            <w:r>
              <w:t>OData</w:t>
            </w:r>
          </w:p>
        </w:tc>
      </w:tr>
      <w:tr>
        <w:tc>
          <w:tcPr>
            <w:tcW w:type="dxa" w:w="4320"/>
          </w:tcPr>
          <w:p>
            <w:r>
              <w:t>Internet Proxy Type</w:t>
            </w:r>
          </w:p>
        </w:tc>
        <w:tc>
          <w:tcPr>
            <w:tcW w:type="dxa" w:w="4320"/>
          </w:tcPr>
          <w:p>
            <w:r/>
          </w:p>
        </w:tc>
      </w:tr>
      <w:tr>
        <w:tc>
          <w:tcPr>
            <w:tcW w:type="dxa" w:w="4320"/>
          </w:tcPr>
          <w:p>
            <w:r>
              <w:t>Transport Protocol Version</w:t>
            </w:r>
          </w:p>
        </w:tc>
        <w:tc>
          <w:tcPr>
            <w:tcW w:type="dxa" w:w="4320"/>
          </w:tcPr>
          <w:p>
            <w:r>
              <w:t>1.25.0</w:t>
            </w:r>
          </w:p>
        </w:tc>
      </w:tr>
      <w:tr>
        <w:tc>
          <w:tcPr>
            <w:tcW w:type="dxa" w:w="4320"/>
          </w:tcPr>
          <w:p>
            <w:r>
              <w:t>Proxy Port</w:t>
            </w:r>
          </w:p>
        </w:tc>
        <w:tc>
          <w:tcPr>
            <w:tcW w:type="dxa" w:w="4320"/>
          </w:tcPr>
          <w:p>
            <w:r/>
          </w:p>
        </w:tc>
      </w:tr>
      <w:tr>
        <w:tc>
          <w:tcPr>
            <w:tcW w:type="dxa" w:w="4320"/>
          </w:tcPr>
          <w:p>
            <w:r>
              <w:t>Component S W C V Name</w:t>
            </w:r>
          </w:p>
        </w:tc>
        <w:tc>
          <w:tcPr>
            <w:tcW w:type="dxa" w:w="4320"/>
          </w:tcPr>
          <w:p>
            <w:r>
              <w:t>external</w:t>
            </w:r>
          </w:p>
        </w:tc>
      </w:tr>
      <w:tr>
        <w:tc>
          <w:tcPr>
            <w:tcW w:type="dxa" w:w="4320"/>
          </w:tcPr>
          <w:p>
            <w:r>
              <w:t>Enable M P L Attachments</w:t>
            </w:r>
          </w:p>
        </w:tc>
        <w:tc>
          <w:tcPr>
            <w:tcW w:type="dxa" w:w="4320"/>
          </w:tcPr>
          <w:p>
            <w:r>
              <w:t>true</w:t>
            </w:r>
          </w:p>
        </w:tc>
      </w:tr>
      <w:tr>
        <w:tc>
          <w:tcPr>
            <w:tcW w:type="dxa" w:w="4320"/>
          </w:tcPr>
          <w:p>
            <w:r>
              <w:t>Receive Time Out</w:t>
            </w:r>
          </w:p>
        </w:tc>
        <w:tc>
          <w:tcPr>
            <w:tcW w:type="dxa" w:w="4320"/>
          </w:tcPr>
          <w:p>
            <w:r>
              <w:t>1</w:t>
            </w:r>
          </w:p>
        </w:tc>
      </w:tr>
      <w:tr>
        <w:tc>
          <w:tcPr>
            <w:tcW w:type="dxa" w:w="4320"/>
          </w:tcPr>
          <w:p>
            <w:r>
              <w:t>Alias</w:t>
            </w:r>
          </w:p>
        </w:tc>
        <w:tc>
          <w:tcPr>
            <w:tcW w:type="dxa" w:w="4320"/>
          </w:tcPr>
          <w:p>
            <w:r>
              <w:t>UST_S4_Cred</w:t>
            </w:r>
          </w:p>
        </w:tc>
      </w:tr>
      <w:tr>
        <w:tc>
          <w:tcPr>
            <w:tcW w:type="dxa" w:w="4320"/>
          </w:tcPr>
          <w:p>
            <w:r>
              <w:t>Content Type</w:t>
            </w:r>
          </w:p>
        </w:tc>
        <w:tc>
          <w:tcPr>
            <w:tcW w:type="dxa" w:w="4320"/>
          </w:tcPr>
          <w:p>
            <w:r>
              <w:t>application/atom+xml</w:t>
            </w:r>
          </w:p>
        </w:tc>
      </w:tr>
      <w:tr>
        <w:tc>
          <w:tcPr>
            <w:tcW w:type="dxa" w:w="4320"/>
          </w:tcPr>
          <w:p>
            <w:r>
              <w:t>Component S W C V Id</w:t>
            </w:r>
          </w:p>
        </w:tc>
        <w:tc>
          <w:tcPr>
            <w:tcW w:type="dxa" w:w="4320"/>
          </w:tcPr>
          <w:p>
            <w:r>
              <w:t>1.25.0</w:t>
            </w:r>
          </w:p>
        </w:tc>
      </w:tr>
      <w:tr>
        <w:tc>
          <w:tcPr>
            <w:tcW w:type="dxa" w:w="4320"/>
          </w:tcPr>
          <w:p>
            <w:r>
              <w:t>Provider Name</w:t>
            </w:r>
          </w:p>
        </w:tc>
        <w:tc>
          <w:tcPr>
            <w:tcW w:type="dxa" w:w="4320"/>
          </w:tcPr>
          <w:p>
            <w:r/>
          </w:p>
        </w:tc>
      </w:tr>
      <w:tr>
        <w:tc>
          <w:tcPr>
            <w:tcW w:type="dxa" w:w="4320"/>
          </w:tcPr>
          <w:p>
            <w:r>
              <w:t>Message Protocol</w:t>
            </w:r>
          </w:p>
        </w:tc>
        <w:tc>
          <w:tcPr>
            <w:tcW w:type="dxa" w:w="4320"/>
          </w:tcPr>
          <w:p>
            <w:r>
              <w:t>OData V2</w:t>
            </w:r>
          </w:p>
        </w:tc>
      </w:tr>
      <w:tr>
        <w:tc>
          <w:tcPr>
            <w:tcW w:type="dxa" w:w="4320"/>
          </w:tcPr>
          <w:p>
            <w:r>
              <w:t>Direction</w:t>
            </w:r>
          </w:p>
        </w:tc>
        <w:tc>
          <w:tcPr>
            <w:tcW w:type="dxa" w:w="4320"/>
          </w:tcPr>
          <w:p>
            <w:r>
              <w:t>Receiver</w:t>
            </w:r>
          </w:p>
        </w:tc>
      </w:tr>
      <w:tr>
        <w:tc>
          <w:tcPr>
            <w:tcW w:type="dxa" w:w="4320"/>
          </w:tcPr>
          <w:p>
            <w:r>
              <w:t>Scc Location Id</w:t>
            </w:r>
          </w:p>
        </w:tc>
        <w:tc>
          <w:tcPr>
            <w:tcW w:type="dxa" w:w="4320"/>
          </w:tcPr>
          <w:p>
            <w:r>
              <w:t>UST-OPTUM-CPI</w:t>
            </w:r>
          </w:p>
        </w:tc>
      </w:tr>
      <w:tr>
        <w:tc>
          <w:tcPr>
            <w:tcW w:type="dxa" w:w="4320"/>
          </w:tcPr>
          <w:p>
            <w:r>
              <w:t>Metadata Allowed Headers</w:t>
            </w:r>
          </w:p>
        </w:tc>
        <w:tc>
          <w:tcPr>
            <w:tcW w:type="dxa" w:w="4320"/>
          </w:tcPr>
          <w:p>
            <w:r/>
          </w:p>
        </w:tc>
      </w:tr>
      <w:tr>
        <w:tc>
          <w:tcPr>
            <w:tcW w:type="dxa" w:w="4320"/>
          </w:tcPr>
          <w:p>
            <w:r>
              <w:t>Component Type</w:t>
            </w:r>
          </w:p>
        </w:tc>
        <w:tc>
          <w:tcPr>
            <w:tcW w:type="dxa" w:w="4320"/>
          </w:tcPr>
          <w:p>
            <w:r>
              <w:t>HCIOData</w:t>
            </w:r>
          </w:p>
        </w:tc>
      </w:tr>
      <w:tr>
        <w:tc>
          <w:tcPr>
            <w:tcW w:type="dxa" w:w="4320"/>
          </w:tcPr>
          <w:p>
            <w:r>
              <w:t>Address</w:t>
            </w:r>
          </w:p>
        </w:tc>
        <w:tc>
          <w:tcPr>
            <w:tcW w:type="dxa" w:w="4320"/>
          </w:tcPr>
          <w:p>
            <w:r>
              <w:t>http://sentrydev:44300/sap/opu/odata/sap/API_SALES_CONTRACT_SRV</w:t>
            </w:r>
          </w:p>
        </w:tc>
      </w:tr>
      <w:tr>
        <w:tc>
          <w:tcPr>
            <w:tcW w:type="dxa" w:w="4320"/>
          </w:tcPr>
          <w:p>
            <w:r>
              <w:t>Query Options</w:t>
            </w:r>
          </w:p>
        </w:tc>
        <w:tc>
          <w:tcPr>
            <w:tcW w:type="dxa" w:w="4320"/>
          </w:tcPr>
          <w:p>
            <w:r/>
          </w:p>
        </w:tc>
      </w:tr>
      <w:tr>
        <w:tc>
          <w:tcPr>
            <w:tcW w:type="dxa" w:w="4320"/>
          </w:tcPr>
          <w:p>
            <w:r>
              <w:t>Proxy Type</w:t>
            </w:r>
          </w:p>
        </w:tc>
        <w:tc>
          <w:tcPr>
            <w:tcW w:type="dxa" w:w="4320"/>
          </w:tcPr>
          <w:p>
            <w:r>
              <w:t>sapcc</w:t>
            </w:r>
          </w:p>
        </w:tc>
      </w:tr>
      <w:tr>
        <w:tc>
          <w:tcPr>
            <w:tcW w:type="dxa" w:w="4320"/>
          </w:tcPr>
          <w:p>
            <w:r>
              <w:t>Is C S R F Enabled</w:t>
            </w:r>
          </w:p>
        </w:tc>
        <w:tc>
          <w:tcPr>
            <w:tcW w:type="dxa" w:w="4320"/>
          </w:tcPr>
          <w:p>
            <w:r>
              <w:t>false</w:t>
            </w:r>
          </w:p>
        </w:tc>
      </w:tr>
      <w:tr>
        <w:tc>
          <w:tcPr>
            <w:tcW w:type="dxa" w:w="4320"/>
          </w:tcPr>
          <w:p>
            <w:r>
              <w:t>Component Version</w:t>
            </w:r>
          </w:p>
        </w:tc>
        <w:tc>
          <w:tcPr>
            <w:tcW w:type="dxa" w:w="4320"/>
          </w:tcPr>
          <w:p>
            <w:r>
              <w:t>1.25</w:t>
            </w:r>
          </w:p>
        </w:tc>
      </w:tr>
      <w:tr>
        <w:tc>
          <w:tcPr>
            <w:tcW w:type="dxa" w:w="4320"/>
          </w:tcPr>
          <w:p>
            <w:r>
              <w:t>Proxy Host</w:t>
            </w:r>
          </w:p>
        </w:tc>
        <w:tc>
          <w:tcPr>
            <w:tcW w:type="dxa" w:w="4320"/>
          </w:tcPr>
          <w:p>
            <w:r/>
          </w:p>
        </w:tc>
      </w:tr>
      <w:tr>
        <w:tc>
          <w:tcPr>
            <w:tcW w:type="dxa" w:w="4320"/>
          </w:tcPr>
          <w:p>
            <w:r>
              <w:t>Edmx File Path</w:t>
            </w:r>
          </w:p>
        </w:tc>
        <w:tc>
          <w:tcPr>
            <w:tcW w:type="dxa" w:w="4320"/>
          </w:tcPr>
          <w:p>
            <w:r>
              <w:t>edmx/sentrydev_44300_sap_opu_odata_sap_API_SALES_CONTRACT_SRV.edmx</w:t>
            </w:r>
          </w:p>
        </w:tc>
      </w:tr>
      <w:tr>
        <w:tc>
          <w:tcPr>
            <w:tcW w:type="dxa" w:w="4320"/>
          </w:tcPr>
          <w:p>
            <w:r>
              <w:t>Provider Url</w:t>
            </w:r>
          </w:p>
        </w:tc>
        <w:tc>
          <w:tcPr>
            <w:tcW w:type="dxa" w:w="4320"/>
          </w:tcPr>
          <w:p>
            <w:r/>
          </w:p>
        </w:tc>
      </w:tr>
      <w:tr>
        <w:tc>
          <w:tcPr>
            <w:tcW w:type="dxa" w:w="4320"/>
          </w:tcPr>
          <w:p>
            <w:r>
              <w:t>Enable T L S Session Reuse</w:t>
            </w:r>
          </w:p>
        </w:tc>
        <w:tc>
          <w:tcPr>
            <w:tcW w:type="dxa" w:w="4320"/>
          </w:tcPr>
          <w:p>
            <w:r>
              <w:t>true</w:t>
            </w:r>
          </w:p>
        </w:tc>
      </w:tr>
      <w:tr>
        <w:tc>
          <w:tcPr>
            <w:tcW w:type="dxa" w:w="4320"/>
          </w:tcPr>
          <w:p>
            <w:r>
              <w:t>Odatapagesize</w:t>
            </w:r>
          </w:p>
        </w:tc>
        <w:tc>
          <w:tcPr>
            <w:tcW w:type="dxa" w:w="4320"/>
          </w:tcPr>
          <w:p>
            <w:r/>
          </w:p>
        </w:tc>
      </w:tr>
      <w:tr>
        <w:tc>
          <w:tcPr>
            <w:tcW w:type="dxa" w:w="4320"/>
          </w:tcPr>
          <w:p>
            <w:r>
              <w:t>System</w:t>
            </w:r>
          </w:p>
        </w:tc>
        <w:tc>
          <w:tcPr>
            <w:tcW w:type="dxa" w:w="4320"/>
          </w:tcPr>
          <w:p>
            <w:r>
              <w:t>Receiver1</w:t>
            </w:r>
          </w:p>
        </w:tc>
      </w:tr>
      <w:tr>
        <w:tc>
          <w:tcPr>
            <w:tcW w:type="dxa" w:w="4320"/>
          </w:tcPr>
          <w:p>
            <w:r>
              <w:t>Authentication Method</w:t>
            </w:r>
          </w:p>
        </w:tc>
        <w:tc>
          <w:tcPr>
            <w:tcW w:type="dxa" w:w="4320"/>
          </w:tcPr>
          <w:p>
            <w:r>
              <w:t>Basic</w:t>
            </w:r>
          </w:p>
        </w:tc>
      </w:tr>
      <w:tr>
        <w:tc>
          <w:tcPr>
            <w:tcW w:type="dxa" w:w="4320"/>
          </w:tcPr>
          <w:p>
            <w:r>
              <w:t>Whitelist Response Headers</w:t>
            </w:r>
          </w:p>
        </w:tc>
        <w:tc>
          <w:tcPr>
            <w:tcW w:type="dxa" w:w="4320"/>
          </w:tcPr>
          <w:p>
            <w:r/>
          </w:p>
        </w:tc>
      </w:tr>
      <w:tr>
        <w:tc>
          <w:tcPr>
            <w:tcW w:type="dxa" w:w="4320"/>
          </w:tcPr>
          <w:p>
            <w:r>
              <w:t>Enable Batch Processing</w:t>
            </w:r>
          </w:p>
        </w:tc>
        <w:tc>
          <w:tcPr>
            <w:tcW w:type="dxa" w:w="4320"/>
          </w:tcPr>
          <w:p>
            <w:r>
              <w:t>1</w:t>
            </w:r>
          </w:p>
        </w:tc>
      </w:tr>
      <w:tr>
        <w:tc>
          <w:tcPr>
            <w:tcW w:type="dxa" w:w="4320"/>
          </w:tcPr>
          <w:p>
            <w:r>
              <w:t>Transport Protocol</w:t>
            </w:r>
          </w:p>
        </w:tc>
        <w:tc>
          <w:tcPr>
            <w:tcW w:type="dxa" w:w="4320"/>
          </w:tcPr>
          <w:p>
            <w:r>
              <w:t>HTTP</w:t>
            </w:r>
          </w:p>
        </w:tc>
      </w:tr>
      <w:tr>
        <w:tc>
          <w:tcPr>
            <w:tcW w:type="dxa" w:w="4320"/>
          </w:tcPr>
          <w:p>
            <w:r>
              <w:t>Character Encoding</w:t>
            </w:r>
          </w:p>
        </w:tc>
        <w:tc>
          <w:tcPr>
            <w:tcW w:type="dxa" w:w="4320"/>
          </w:tcPr>
          <w:p>
            <w:r>
              <w:t>none</w:t>
            </w:r>
          </w:p>
        </w:tc>
      </w:tr>
      <w:tr>
        <w:tc>
          <w:tcPr>
            <w:tcW w:type="dxa" w:w="4320"/>
          </w:tcPr>
          <w:p>
            <w:r>
              <w:t>Fields</w:t>
            </w:r>
          </w:p>
        </w:tc>
        <w:tc>
          <w:tcPr>
            <w:tcW w:type="dxa" w:w="4320"/>
          </w:tcPr>
          <w:p>
            <w:r>
              <w:t>SalesContract,SalesContractType,SalesOrganization,DistributionChannel,SalesContractValidityStartDate,SalesContractValidityEndDate,SalesContractValidityPerdUnit,CustomerPurchaseOrderType,OrganizationDivision,SoldToParty,CustomerPurchaseOrderDate,PurchaseOrderByCustomer,to_Item/SalesContractItem,to_Item/SalesContract,to_Item/Material,to_Item/RequestedQuantity</w:t>
            </w:r>
          </w:p>
        </w:tc>
      </w:tr>
      <w:tr>
        <w:tc>
          <w:tcPr>
            <w:tcW w:type="dxa" w:w="4320"/>
          </w:tcPr>
          <w:p>
            <w:r>
              <w:t>Cmd Variant Uri</w:t>
            </w:r>
          </w:p>
        </w:tc>
        <w:tc>
          <w:tcPr>
            <w:tcW w:type="dxa" w:w="4320"/>
          </w:tcPr>
          <w:p>
            <w:r>
              <w:t>ctype::AdapterVariant/cname::sap:HCIOData/tp::HTTP/mp::OData V2/direction::Receiver/version::1.25.0</w:t>
            </w:r>
          </w:p>
        </w:tc>
      </w:tr>
      <w:tr>
        <w:tc>
          <w:tcPr>
            <w:tcW w:type="dxa" w:w="4320"/>
          </w:tcPr>
          <w:p>
            <w:r>
              <w:t>Whitelist Request Headers</w:t>
            </w:r>
          </w:p>
        </w:tc>
        <w:tc>
          <w:tcPr>
            <w:tcW w:type="dxa" w:w="4320"/>
          </w:tcPr>
          <w:p>
            <w:r/>
          </w:p>
        </w:tc>
      </w:tr>
      <w:tr>
        <w:tc>
          <w:tcPr>
            <w:tcW w:type="dxa" w:w="4320"/>
          </w:tcPr>
          <w:p>
            <w:r>
              <w:t>Operation</w:t>
            </w:r>
          </w:p>
        </w:tc>
        <w:tc>
          <w:tcPr>
            <w:tcW w:type="dxa" w:w="4320"/>
          </w:tcPr>
          <w:p>
            <w:r>
              <w:t>Create(POST)</w:t>
            </w:r>
          </w:p>
        </w:tc>
      </w:tr>
      <w:tr>
        <w:tc>
          <w:tcPr>
            <w:tcW w:type="dxa" w:w="4320"/>
          </w:tcPr>
          <w:p>
            <w:r>
              <w:t>Message Protocol Version</w:t>
            </w:r>
          </w:p>
        </w:tc>
        <w:tc>
          <w:tcPr>
            <w:tcW w:type="dxa" w:w="4320"/>
          </w:tcPr>
          <w:p>
            <w:r>
              <w:t>1.25.0</w:t>
            </w:r>
          </w:p>
        </w:tc>
      </w:tr>
      <w:tr>
        <w:tc>
          <w:tcPr>
            <w:tcW w:type="dxa" w:w="4320"/>
          </w:tcPr>
          <w:p>
            <w:r>
              <w:t>Provider Relative Url</w:t>
            </w:r>
          </w:p>
        </w:tc>
        <w:tc>
          <w:tcPr>
            <w:tcW w:type="dxa" w:w="4320"/>
          </w:tcPr>
          <w:p>
            <w:r/>
          </w:p>
        </w:tc>
      </w:tr>
    </w:tbl>
    <w:p>
      <w:pPr>
        <w:pStyle w:val="Heading2"/>
      </w:pPr>
      <w:r>
        <w:t>5.5. Mappings</w:t>
      </w:r>
    </w:p>
    <w:p>
      <w:r>
        <w:rPr>
          <w:b w:val="0"/>
          <w:i w:val="0"/>
          <w:sz w:val="24"/>
        </w:rPr>
        <w:t>The iFlow's `Mappings` section contains a single `MappingActivity` with ID "1".  This activity executes a Message Mapping named "Bulk2". The mapping resource is located at `dir://mmap/src/main/resources/mapping/Bulk2.mmap` and identified by the path `src/main/resources/mapping/Bulk2`. The mapping is statically referenced, implying a pre-defined mapping object.  No explicit source value is configured for the mapping in this fragment. The component version used for the message mapping is 1.3.</w:t>
        <w:br/>
      </w:r>
    </w:p>
    <w:p>
      <w:pPr>
        <w:pStyle w:val="Heading3"/>
      </w:pPr>
      <w:r>
        <w:t>Mapping Activity 1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mappinguri</w:t>
            </w:r>
          </w:p>
        </w:tc>
        <w:tc>
          <w:tcPr>
            <w:tcW w:type="dxa" w:w="4320"/>
          </w:tcPr>
          <w:p>
            <w:r>
              <w:t>dir://mmap/src/main/resources/mapping/Bulk2.mmap</w:t>
            </w:r>
          </w:p>
        </w:tc>
      </w:tr>
      <w:tr>
        <w:tc>
          <w:tcPr>
            <w:tcW w:type="dxa" w:w="4320"/>
          </w:tcPr>
          <w:p>
            <w:r>
              <w:t>mappingname</w:t>
            </w:r>
          </w:p>
        </w:tc>
        <w:tc>
          <w:tcPr>
            <w:tcW w:type="dxa" w:w="4320"/>
          </w:tcPr>
          <w:p>
            <w:r>
              <w:t>Bulk2</w:t>
            </w:r>
          </w:p>
        </w:tc>
      </w:tr>
      <w:tr>
        <w:tc>
          <w:tcPr>
            <w:tcW w:type="dxa" w:w="4320"/>
          </w:tcPr>
          <w:p>
            <w:r>
              <w:t>mappingSourceValue</w:t>
            </w:r>
          </w:p>
        </w:tc>
        <w:tc>
          <w:tcPr>
            <w:tcW w:type="dxa" w:w="4320"/>
          </w:tcPr>
          <w:p>
            <w:r/>
          </w:p>
        </w:tc>
      </w:tr>
      <w:tr>
        <w:tc>
          <w:tcPr>
            <w:tcW w:type="dxa" w:w="4320"/>
          </w:tcPr>
          <w:p>
            <w:r>
              <w:t>mappingType</w:t>
            </w:r>
          </w:p>
        </w:tc>
        <w:tc>
          <w:tcPr>
            <w:tcW w:type="dxa" w:w="4320"/>
          </w:tcPr>
          <w:p>
            <w:r>
              <w:t>MessageMapping</w:t>
            </w:r>
          </w:p>
        </w:tc>
      </w:tr>
      <w:tr>
        <w:tc>
          <w:tcPr>
            <w:tcW w:type="dxa" w:w="4320"/>
          </w:tcPr>
          <w:p>
            <w:r>
              <w:t>mappingReference</w:t>
            </w:r>
          </w:p>
        </w:tc>
        <w:tc>
          <w:tcPr>
            <w:tcW w:type="dxa" w:w="4320"/>
          </w:tcPr>
          <w:p>
            <w:r>
              <w:t>static</w:t>
            </w:r>
          </w:p>
        </w:tc>
      </w:tr>
      <w:tr>
        <w:tc>
          <w:tcPr>
            <w:tcW w:type="dxa" w:w="4320"/>
          </w:tcPr>
          <w:p>
            <w:r>
              <w:t>mappingpath</w:t>
            </w:r>
          </w:p>
        </w:tc>
        <w:tc>
          <w:tcPr>
            <w:tcW w:type="dxa" w:w="4320"/>
          </w:tcPr>
          <w:p>
            <w:r>
              <w:t>src/main/resources/mapping/Bulk2</w:t>
            </w:r>
          </w:p>
        </w:tc>
      </w:tr>
      <w:tr>
        <w:tc>
          <w:tcPr>
            <w:tcW w:type="dxa" w:w="4320"/>
          </w:tcPr>
          <w:p>
            <w:r>
              <w:t>componentVersion</w:t>
            </w:r>
          </w:p>
        </w:tc>
        <w:tc>
          <w:tcPr>
            <w:tcW w:type="dxa" w:w="4320"/>
          </w:tcPr>
          <w:p>
            <w:r>
              <w:t>1.3</w:t>
            </w:r>
          </w:p>
        </w:tc>
      </w:tr>
      <w:tr>
        <w:tc>
          <w:tcPr>
            <w:tcW w:type="dxa" w:w="4320"/>
          </w:tcPr>
          <w:p>
            <w:r>
              <w:t>activityType</w:t>
            </w:r>
          </w:p>
        </w:tc>
        <w:tc>
          <w:tcPr>
            <w:tcW w:type="dxa" w:w="4320"/>
          </w:tcPr>
          <w:p>
            <w:r>
              <w:t>Mapping</w:t>
            </w:r>
          </w:p>
        </w:tc>
      </w:tr>
      <w:tr>
        <w:tc>
          <w:tcPr>
            <w:tcW w:type="dxa" w:w="4320"/>
          </w:tcPr>
          <w:p>
            <w:r>
              <w:t>cmdVariantUri</w:t>
            </w:r>
          </w:p>
        </w:tc>
        <w:tc>
          <w:tcPr>
            <w:tcW w:type="dxa" w:w="4320"/>
          </w:tcPr>
          <w:p>
            <w:r>
              <w:t>ctype::FlowstepVariant/cname::MessageMapping/version::1.3.1</w:t>
            </w:r>
          </w:p>
        </w:tc>
      </w:tr>
      <w:tr>
        <w:tc>
          <w:tcPr>
            <w:tcW w:type="dxa" w:w="4320"/>
          </w:tcPr>
          <w:p>
            <w:r>
              <w:t>messageMappingBundleId</w:t>
            </w:r>
          </w:p>
        </w:tc>
        <w:tc>
          <w:tcPr>
            <w:tcW w:type="dxa" w:w="4320"/>
          </w:tcPr>
          <w:p>
            <w:r/>
          </w:p>
        </w:tc>
      </w:tr>
    </w:tbl>
    <w:p>
      <w:pPr>
        <w:pStyle w:val="Heading2"/>
      </w:pPr>
      <w:r>
        <w:t>5.6. Security</w:t>
      </w:r>
    </w:p>
    <w:p>
      <w:r>
        <w:rPr>
          <w:b w:val="0"/>
          <w:i w:val="0"/>
          <w:sz w:val="24"/>
        </w:rPr>
        <w:t>The iFlow's collaboration defines security-related properties.  CORS is disabled (`corsEnabled=false`). HTTP session handling is set to "None". Return Exception to Sender is set to False (`returnExceptionToSender=false`). Basic Authentication is disabled on the Sender participant (`enableBasicAuthentication=false`). HTTPS transport uses role-based sender authentication (`senderAuthType=RoleBased`) requiring the `ESBMessaging.send` user role.</w:t>
        <w:br/>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Namespace Mapping</w:t>
            </w:r>
          </w:p>
        </w:tc>
        <w:tc>
          <w:tcPr>
            <w:tcW w:type="dxa" w:w="4320"/>
          </w:tcPr>
          <w:p>
            <w:r/>
          </w:p>
        </w:tc>
      </w:tr>
      <w:tr>
        <w:tc>
          <w:tcPr>
            <w:tcW w:type="dxa" w:w="4320"/>
          </w:tcPr>
          <w:p>
            <w:r>
              <w:t>Http Session Handling</w:t>
            </w:r>
          </w:p>
        </w:tc>
        <w:tc>
          <w:tcPr>
            <w:tcW w:type="dxa" w:w="4320"/>
          </w:tcPr>
          <w:p>
            <w:r>
              <w:t>None</w:t>
            </w:r>
          </w:p>
        </w:tc>
      </w:tr>
      <w:tr>
        <w:tc>
          <w:tcPr>
            <w:tcW w:type="dxa" w:w="4320"/>
          </w:tcPr>
          <w:p>
            <w:r>
              <w:t>Access Control Max Age</w:t>
            </w:r>
          </w:p>
        </w:tc>
        <w:tc>
          <w:tcPr>
            <w:tcW w:type="dxa" w:w="4320"/>
          </w:tcPr>
          <w:p>
            <w:r/>
          </w:p>
        </w:tc>
      </w:tr>
      <w:tr>
        <w:tc>
          <w:tcPr>
            <w:tcW w:type="dxa" w:w="4320"/>
          </w:tcPr>
          <w:p>
            <w:r>
              <w:t>Return Exception To Sender</w:t>
            </w:r>
          </w:p>
        </w:tc>
        <w:tc>
          <w:tcPr>
            <w:tcW w:type="dxa" w:w="4320"/>
          </w:tcPr>
          <w:p>
            <w:r>
              <w:t>false</w:t>
            </w:r>
          </w:p>
        </w:tc>
      </w:tr>
      <w:tr>
        <w:tc>
          <w:tcPr>
            <w:tcW w:type="dxa" w:w="4320"/>
          </w:tcPr>
          <w:p>
            <w:r>
              <w:t>Log</w:t>
            </w:r>
          </w:p>
        </w:tc>
        <w:tc>
          <w:tcPr>
            <w:tcW w:type="dxa" w:w="4320"/>
          </w:tcPr>
          <w:p>
            <w:r>
              <w:t>All events</w:t>
            </w:r>
          </w:p>
        </w:tc>
      </w:tr>
      <w:tr>
        <w:tc>
          <w:tcPr>
            <w:tcW w:type="dxa" w:w="4320"/>
          </w:tcPr>
          <w:p>
            <w:r>
              <w:t>Cors Enabled</w:t>
            </w:r>
          </w:p>
        </w:tc>
        <w:tc>
          <w:tcPr>
            <w:tcW w:type="dxa" w:w="4320"/>
          </w:tcPr>
          <w:p>
            <w:r>
              <w:t>false</w:t>
            </w:r>
          </w:p>
        </w:tc>
      </w:tr>
      <w:tr>
        <w:tc>
          <w:tcPr>
            <w:tcW w:type="dxa" w:w="4320"/>
          </w:tcPr>
          <w:p>
            <w:r>
              <w:t>Exposed Headers</w:t>
            </w:r>
          </w:p>
        </w:tc>
        <w:tc>
          <w:tcPr>
            <w:tcW w:type="dxa" w:w="4320"/>
          </w:tcPr>
          <w:p>
            <w:r/>
          </w:p>
        </w:tc>
      </w:tr>
      <w:tr>
        <w:tc>
          <w:tcPr>
            <w:tcW w:type="dxa" w:w="4320"/>
          </w:tcPr>
          <w:p>
            <w:r>
              <w:t>Component Version</w:t>
            </w:r>
          </w:p>
        </w:tc>
        <w:tc>
          <w:tcPr>
            <w:tcW w:type="dxa" w:w="4320"/>
          </w:tcPr>
          <w:p>
            <w:r>
              <w:t>1.2</w:t>
            </w:r>
          </w:p>
        </w:tc>
      </w:tr>
      <w:tr>
        <w:tc>
          <w:tcPr>
            <w:tcW w:type="dxa" w:w="4320"/>
          </w:tcPr>
          <w:p>
            <w:r>
              <w:t>Allowed Header List</w:t>
            </w:r>
          </w:p>
        </w:tc>
        <w:tc>
          <w:tcPr>
            <w:tcW w:type="dxa" w:w="4320"/>
          </w:tcPr>
          <w:p>
            <w:r/>
          </w:p>
        </w:tc>
      </w:tr>
      <w:tr>
        <w:tc>
          <w:tcPr>
            <w:tcW w:type="dxa" w:w="4320"/>
          </w:tcPr>
          <w:p>
            <w:r>
              <w:t>Server Trace</w:t>
            </w:r>
          </w:p>
        </w:tc>
        <w:tc>
          <w:tcPr>
            <w:tcW w:type="dxa" w:w="4320"/>
          </w:tcPr>
          <w:p>
            <w:r>
              <w:t>false</w:t>
            </w:r>
          </w:p>
        </w:tc>
      </w:tr>
      <w:tr>
        <w:tc>
          <w:tcPr>
            <w:tcW w:type="dxa" w:w="4320"/>
          </w:tcPr>
          <w:p>
            <w:r>
              <w:t>Allowed Origins</w:t>
            </w:r>
          </w:p>
        </w:tc>
        <w:tc>
          <w:tcPr>
            <w:tcW w:type="dxa" w:w="4320"/>
          </w:tcPr>
          <w:p>
            <w:r/>
          </w:p>
        </w:tc>
      </w:tr>
      <w:tr>
        <w:tc>
          <w:tcPr>
            <w:tcW w:type="dxa" w:w="4320"/>
          </w:tcPr>
          <w:p>
            <w:r>
              <w:t>Access Control Allow Credentials</w:t>
            </w:r>
          </w:p>
        </w:tc>
        <w:tc>
          <w:tcPr>
            <w:tcW w:type="dxa" w:w="4320"/>
          </w:tcPr>
          <w:p>
            <w:r>
              <w:t>false</w:t>
            </w:r>
          </w:p>
        </w:tc>
      </w:tr>
      <w:tr>
        <w:tc>
          <w:tcPr>
            <w:tcW w:type="dxa" w:w="4320"/>
          </w:tcPr>
          <w:p>
            <w:r>
              <w:t>Allowed Headers</w:t>
            </w:r>
          </w:p>
        </w:tc>
        <w:tc>
          <w:tcPr>
            <w:tcW w:type="dxa" w:w="4320"/>
          </w:tcPr>
          <w:p>
            <w:r/>
          </w:p>
        </w:tc>
      </w:tr>
      <w:tr>
        <w:tc>
          <w:tcPr>
            <w:tcW w:type="dxa" w:w="4320"/>
          </w:tcPr>
          <w:p>
            <w:r>
              <w:t>Allowed Methods</w:t>
            </w:r>
          </w:p>
        </w:tc>
        <w:tc>
          <w:tcPr>
            <w:tcW w:type="dxa" w:w="4320"/>
          </w:tcPr>
          <w:p>
            <w:r/>
          </w:p>
        </w:tc>
      </w:tr>
      <w:tr>
        <w:tc>
          <w:tcPr>
            <w:tcW w:type="dxa" w:w="4320"/>
          </w:tcPr>
          <w:p>
            <w:r>
              <w:t>Cmd Variant Uri</w:t>
            </w:r>
          </w:p>
        </w:tc>
        <w:tc>
          <w:tcPr>
            <w:tcW w:type="dxa" w:w="4320"/>
          </w:tcPr>
          <w:p>
            <w:r>
              <w:t>ctype::IFlowVariant/cname::IFlowConfiguration/version::1.2.4</w:t>
            </w:r>
          </w:p>
        </w:tc>
      </w:tr>
    </w:tbl>
    <w:p>
      <w:pPr>
        <w:pStyle w:val="Heading2"/>
      </w:pPr>
      <w:r>
        <w:t>5.7. Groovy Scripts</w:t>
      </w:r>
    </w:p>
    <w:p>
      <w:r>
        <w:rPr>
          <w:b w:val="0"/>
          <w:i w:val="0"/>
          <w:sz w:val="24"/>
        </w:rPr>
        <w:t>This SAP iFlow, `Post_Bulk_Order_SV`, processes bulk order data. Groovy scripts are implicitly supported, though not explicitly mentioned in the XML. The iFlow starts with a `StartEvent`, enriches the content with two `Content Modifier` steps (CallActivity_5, CallActivity_341642) and uses a `Message Mapping` step (CallActivity_91) to transform the data.  A `General Splitter` (CallActivity_341644) divides the data for processing, followed by a `Request Reply` step (ServiceTask_75189) for external interaction. Finally, a `Write` step stores the result(CallActivity_75201) or if there are errors a `Content Modifier 2` (CallActivity_75198) is used to wrap the message up.</w:t>
        <w:br/>
      </w:r>
    </w:p>
    <w:p>
      <w:r>
        <w:rPr>
          <w:b w:val="0"/>
          <w:i w:val="0"/>
          <w:sz w:val="24"/>
        </w:rPr>
        <w:t>No Groovy scripts found in the specified folder.</w:t>
      </w:r>
    </w:p>
    <w:p>
      <w:pPr>
        <w:pStyle w:val="Heading2"/>
      </w:pPr>
      <w:r>
        <w:t>5.8. Error Handling &amp; Logging</w:t>
      </w:r>
    </w:p>
    <w:p>
      <w:r>
        <w:rPr>
          <w:b w:val="0"/>
          <w:i w:val="0"/>
          <w:sz w:val="24"/>
        </w:rPr>
        <w:t>This SAP iFlow configuration provides no explicit error handling or logging mechanisms. The `&lt;Exceptions&gt;` tag being empty indicates that no specific exception sub-processes are defined to catch and handle errors during iFlow execution. As a result, any errors encountered will likely result in a runtime failure without custom handling.  Similarly, the absence of dedicated logging configurations means limited or default logging behavior, potentially hindering troubleshooting and auditing. No information is provided on how errors will be handled or logged. This configuration heavily relies on implicit error reporting and default system logging, which may be insufficient for production environments.</w:t>
        <w:br/>
      </w:r>
    </w:p>
    <w:p>
      <w:r>
        <w:rPr>
          <w:b w:val="0"/>
          <w:i w:val="0"/>
          <w:sz w:val="24"/>
        </w:rPr>
        <w:t>No exception subprocesses found in the iFlow.</w:t>
      </w:r>
    </w:p>
    <w:p>
      <w:pPr>
        <w:pStyle w:val="Heading1"/>
      </w:pPr>
      <w:r>
        <w:t>6. Version and Metadata</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componentVersion</w:t>
            </w:r>
          </w:p>
        </w:tc>
        <w:tc>
          <w:tcPr>
            <w:tcW w:type="dxa" w:w="4320"/>
          </w:tcPr>
          <w:p>
            <w:r>
              <w:t>1.0</w:t>
            </w:r>
          </w:p>
        </w:tc>
      </w:tr>
      <w:tr>
        <w:tc>
          <w:tcPr>
            <w:tcW w:type="dxa" w:w="4320"/>
          </w:tcPr>
          <w:p>
            <w:r>
              <w:t>ComponentNS</w:t>
            </w:r>
          </w:p>
        </w:tc>
        <w:tc>
          <w:tcPr>
            <w:tcW w:type="dxa" w:w="4320"/>
          </w:tcPr>
          <w:p>
            <w:r>
              <w:t>sap</w:t>
            </w:r>
          </w:p>
        </w:tc>
      </w:tr>
      <w:tr>
        <w:tc>
          <w:tcPr>
            <w:tcW w:type="dxa" w:w="4320"/>
          </w:tcPr>
          <w:p>
            <w:r>
              <w:t>ComponentSWCVName</w:t>
            </w:r>
          </w:p>
        </w:tc>
        <w:tc>
          <w:tcPr>
            <w:tcW w:type="dxa" w:w="4320"/>
          </w:tcPr>
          <w:p>
            <w:r>
              <w:t>external</w:t>
            </w:r>
          </w:p>
        </w:tc>
      </w:tr>
      <w:tr>
        <w:tc>
          <w:tcPr>
            <w:tcW w:type="dxa" w:w="4320"/>
          </w:tcPr>
          <w:p>
            <w:r>
              <w:t>ComponentSWCVId</w:t>
            </w:r>
          </w:p>
        </w:tc>
        <w:tc>
          <w:tcPr>
            <w:tcW w:type="dxa" w:w="4320"/>
          </w:tcPr>
          <w:p>
            <w:r>
              <w:t>1.5.2</w:t>
            </w:r>
          </w:p>
        </w:tc>
      </w:tr>
    </w:tbl>
    <w:p>
      <w:r>
        <w:rPr>
          <w:b w:val="0"/>
          <w:i w:val="0"/>
          <w:sz w:val="24"/>
        </w:rPr>
        <w:t>This SAP iFlow's metadata indicates a component version of "1.0" from the "sap" namespace. The Software Component Version Name is "external", and the corresponding Software Component Version ID is "1.5.2". This identifies the specific version and source of the underlying component utilized within the integration flow. Versioning information is crucial for tracking changes and ensuring compatibility across different environments. The combination of ComponentSWCVName and ComponentSWCVId provide a unique identifier for the component used.</w:t>
        <w:br/>
      </w:r>
    </w:p>
    <w:p>
      <w:pPr>
        <w:pStyle w:val="Heading1"/>
      </w:pPr>
      <w:r>
        <w:t>7. Appendix</w:t>
      </w:r>
    </w:p>
    <w:p>
      <w:r>
        <w:rPr>
          <w:b w:val="0"/>
          <w:i w:val="0"/>
          <w:sz w:val="24"/>
        </w:rPr>
        <w:t>This iFlow defines an integration process with several key components. It includes a message mapping named `Bulk2.mmap` to transform the message structure. Several Content Modifiers are utilized, including `Content Modifier 2` which sets the `Material_Number` property using XPath, and `Content Modifier 3` which sets header `Mat2` using an XPath expression. A General Splitter splits the incoming message based on the XPath expression `/batchPartResponse/batchChangeSetResponse/batchChangeSetPartResponse`. An Exclusive Gateway with XML condition `/batchPartResponse/batchChangeSetResponse/batchChangeSetPartResponse/statusCode = '201'` routes based on the HTTP status code. The iFlow also interacts with an external service via "Request Reply 1" and stores data using the "Write 1" datastore operation.</w:t>
        <w:br/>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mappinguri</w:t>
            </w:r>
          </w:p>
        </w:tc>
        <w:tc>
          <w:tcPr>
            <w:tcW w:type="dxa" w:w="4320"/>
          </w:tcPr>
          <w:p>
            <w:r>
              <w:t>dir://mmap/src/main/resources/mapping/Bulk2.mmap</w:t>
            </w:r>
          </w:p>
        </w:tc>
      </w:tr>
      <w:tr>
        <w:tc>
          <w:tcPr>
            <w:tcW w:type="dxa" w:w="4320"/>
          </w:tcPr>
          <w:p>
            <w:r>
              <w:t>mappingname</w:t>
            </w:r>
          </w:p>
        </w:tc>
        <w:tc>
          <w:tcPr>
            <w:tcW w:type="dxa" w:w="4320"/>
          </w:tcPr>
          <w:p>
            <w:r>
              <w:t>Bulk2</w:t>
            </w:r>
          </w:p>
        </w:tc>
      </w:tr>
      <w:tr>
        <w:tc>
          <w:tcPr>
            <w:tcW w:type="dxa" w:w="4320"/>
          </w:tcPr>
          <w:p>
            <w:r>
              <w:t>mappingType</w:t>
            </w:r>
          </w:p>
        </w:tc>
        <w:tc>
          <w:tcPr>
            <w:tcW w:type="dxa" w:w="4320"/>
          </w:tcPr>
          <w:p>
            <w:r>
              <w:t>MessageMapping</w:t>
            </w:r>
          </w:p>
        </w:tc>
      </w:tr>
      <w:tr>
        <w:tc>
          <w:tcPr>
            <w:tcW w:type="dxa" w:w="4320"/>
          </w:tcPr>
          <w:p>
            <w:r>
              <w:t>mappingReference</w:t>
            </w:r>
          </w:p>
        </w:tc>
        <w:tc>
          <w:tcPr>
            <w:tcW w:type="dxa" w:w="4320"/>
          </w:tcPr>
          <w:p>
            <w:r>
              <w:t>static</w:t>
            </w:r>
          </w:p>
        </w:tc>
      </w:tr>
      <w:tr>
        <w:tc>
          <w:tcPr>
            <w:tcW w:type="dxa" w:w="4320"/>
          </w:tcPr>
          <w:p>
            <w:r>
              <w:t>mappingpath</w:t>
            </w:r>
          </w:p>
        </w:tc>
        <w:tc>
          <w:tcPr>
            <w:tcW w:type="dxa" w:w="4320"/>
          </w:tcPr>
          <w:p>
            <w:r>
              <w:t>src/main/resources/mapping/Bulk2</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Author: Generated by AI | Version: 1.0 | Date: 2025-11-04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 xml:space="preserve">Technical Specification: iFlow - Post_Bulk_Order_SV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