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i w:val="0"/>
          <w:sz w:val="48"/>
        </w:rPr>
        <w:t xml:space="preserve">SAP Integration Suite </w:t>
        <w:br/>
        <w:t>Cloud Integration - Technical Specification</w:t>
        <w:br/>
        <w:t xml:space="preserve"> iFlow Name : Get_Data_SV</w:t>
      </w:r>
    </w:p>
    <w:p>
      <w:pPr>
        <w:jc w:val="center"/>
      </w:pPr>
      <w:r>
        <w:rPr>
          <w:b w:val="0"/>
          <w:i w:val="0"/>
          <w:sz w:val="24"/>
        </w:rPr>
        <w:t>Version: 1.0</w:t>
      </w:r>
    </w:p>
    <w:p>
      <w:pPr>
        <w:jc w:val="center"/>
      </w:pPr>
      <w:r>
        <w:rPr>
          <w:b w:val="0"/>
          <w:i w:val="0"/>
          <w:sz w:val="24"/>
        </w:rPr>
        <w:t>Author: Generated by AI</w:t>
      </w:r>
    </w:p>
    <w:p>
      <w:pPr>
        <w:jc w:val="center"/>
      </w:pPr>
      <w:r>
        <w:rPr>
          <w:b w:val="0"/>
          <w:i w:val="0"/>
          <w:sz w:val="24"/>
        </w:rPr>
        <w:t>Date: 2025-10-19</w:t>
      </w:r>
    </w:p>
    <w:p>
      <w:r>
        <w:br w:type="page"/>
      </w:r>
    </w:p>
    <w:p>
      <w:pPr>
        <w:pStyle w:val="Heading1"/>
      </w:pPr>
      <w:r>
        <w:t>Table of Contents</w:t>
      </w:r>
    </w:p>
    <w:p>
      <w:r>
        <w:rPr>
          <w:b w:val="0"/>
          <w:i w:val="0"/>
          <w:sz w:val="24"/>
        </w:rPr>
        <w:t>1. Change History</w:t>
      </w:r>
    </w:p>
    <w:p>
      <w:r>
        <w:rPr>
          <w:b w:val="0"/>
          <w:i w:val="0"/>
          <w:sz w:val="24"/>
        </w:rPr>
        <w:t>2. Overview</w:t>
      </w:r>
    </w:p>
    <w:p>
      <w:r>
        <w:rPr>
          <w:b w:val="0"/>
          <w:i w:val="0"/>
          <w:sz w:val="24"/>
        </w:rPr>
        <w:t>3. High level iFlow Design</w:t>
      </w:r>
    </w:p>
    <w:p>
      <w:r>
        <w:rPr>
          <w:b w:val="0"/>
          <w:i w:val="0"/>
          <w:sz w:val="24"/>
        </w:rPr>
        <w:t>4. Message Flow</w:t>
      </w:r>
    </w:p>
    <w:p>
      <w:r>
        <w:rPr>
          <w:b w:val="0"/>
          <w:i w:val="0"/>
          <w:sz w:val="24"/>
        </w:rPr>
        <w:t>5. Technical Description</w:t>
      </w:r>
    </w:p>
    <w:p>
      <w:r>
        <w:rPr>
          <w:b w:val="0"/>
          <w:i w:val="0"/>
          <w:sz w:val="24"/>
        </w:rPr>
        <w:t>5.1. Main Integration Process</w:t>
      </w:r>
    </w:p>
    <w:p>
      <w:r>
        <w:rPr>
          <w:b w:val="0"/>
          <w:i w:val="0"/>
          <w:sz w:val="24"/>
        </w:rPr>
        <w:t>5.2. Local Integration Process</w:t>
      </w:r>
    </w:p>
    <w:p>
      <w:r>
        <w:rPr>
          <w:b w:val="0"/>
          <w:i w:val="0"/>
          <w:sz w:val="24"/>
        </w:rPr>
        <w:t>5.3. Sender</w:t>
      </w:r>
    </w:p>
    <w:p>
      <w:r>
        <w:rPr>
          <w:b w:val="0"/>
          <w:i w:val="0"/>
          <w:sz w:val="24"/>
        </w:rPr>
        <w:t>5.4. Receiver</w:t>
      </w:r>
    </w:p>
    <w:p>
      <w:r>
        <w:rPr>
          <w:b w:val="0"/>
          <w:i w:val="0"/>
          <w:sz w:val="24"/>
        </w:rPr>
        <w:t>5.5. Mappings</w:t>
      </w:r>
    </w:p>
    <w:p>
      <w:r>
        <w:rPr>
          <w:b w:val="0"/>
          <w:i w:val="0"/>
          <w:sz w:val="24"/>
        </w:rPr>
        <w:t>5.6. Security</w:t>
      </w:r>
    </w:p>
    <w:p>
      <w:r>
        <w:rPr>
          <w:b w:val="0"/>
          <w:i w:val="0"/>
          <w:sz w:val="24"/>
        </w:rPr>
        <w:t>5.7. Groovy Scripts</w:t>
      </w:r>
    </w:p>
    <w:p>
      <w:r>
        <w:rPr>
          <w:b w:val="0"/>
          <w:i w:val="0"/>
          <w:sz w:val="24"/>
        </w:rPr>
        <w:t>5.8. Error Handling &amp; Logging</w:t>
      </w:r>
    </w:p>
    <w:p>
      <w:r>
        <w:rPr>
          <w:b w:val="0"/>
          <w:i w:val="0"/>
          <w:sz w:val="24"/>
        </w:rPr>
        <w:t>6. Version and Metadata</w:t>
      </w:r>
    </w:p>
    <w:p>
      <w:r>
        <w:rPr>
          <w:b w:val="0"/>
          <w:i w:val="0"/>
          <w:sz w:val="24"/>
        </w:rPr>
        <w:t>7. Appendix</w:t>
      </w:r>
    </w:p>
    <w:p>
      <w:r>
        <w:br w:type="page"/>
      </w:r>
    </w:p>
    <w:p>
      <w:pPr>
        <w:pStyle w:val="Heading1"/>
      </w:pPr>
      <w:r>
        <w:t>1. Change History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color w:val="003366"/>
              </w:rPr>
              <w:t>Version</w:t>
            </w:r>
          </w:p>
        </w:tc>
        <w:tc>
          <w:tcPr>
            <w:tcW w:type="dxa" w:w="2160"/>
          </w:tcPr>
          <w:p>
            <w:r>
              <w:rPr>
                <w:b/>
                <w:color w:val="003366"/>
              </w:rPr>
              <w:t>Date</w:t>
            </w:r>
          </w:p>
        </w:tc>
        <w:tc>
          <w:tcPr>
            <w:tcW w:type="dxa" w:w="2160"/>
          </w:tcPr>
          <w:p>
            <w:r>
              <w:rPr>
                <w:b/>
                <w:color w:val="003366"/>
              </w:rPr>
              <w:t>Author</w:t>
            </w:r>
          </w:p>
        </w:tc>
        <w:tc>
          <w:tcPr>
            <w:tcW w:type="dxa" w:w="2160"/>
          </w:tcPr>
          <w:p>
            <w:r>
              <w:rPr>
                <w:b/>
                <w:color w:val="003366"/>
              </w:rPr>
              <w:t>Description</w:t>
            </w:r>
          </w:p>
        </w:tc>
      </w:tr>
      <w:tr>
        <w:tc>
          <w:tcPr>
            <w:tcW w:type="dxa" w:w="2160"/>
          </w:tcPr>
          <w:p>
            <w:r>
              <w:t>1.0</w:t>
            </w:r>
          </w:p>
        </w:tc>
        <w:tc>
          <w:tcPr>
            <w:tcW w:type="dxa" w:w="2160"/>
          </w:tcPr>
          <w:p>
            <w:r>
              <w:t>2025-10-19</w:t>
            </w:r>
          </w:p>
        </w:tc>
        <w:tc>
          <w:tcPr>
            <w:tcW w:type="dxa" w:w="2160"/>
          </w:tcPr>
          <w:p>
            <w:r>
              <w:t>Generated by AI</w:t>
            </w:r>
          </w:p>
        </w:tc>
        <w:tc>
          <w:tcPr>
            <w:tcW w:type="dxa" w:w="2160"/>
          </w:tcPr>
          <w:p>
            <w:r>
              <w:t>Initial version</w:t>
            </w:r>
          </w:p>
        </w:tc>
      </w:tr>
    </w:tbl>
    <w:p>
      <w:r>
        <w:br w:type="page"/>
      </w:r>
    </w:p>
    <w:p>
      <w:pPr>
        <w:pStyle w:val="Heading1"/>
      </w:pPr>
      <w:r>
        <w:t>2. Overview</w:t>
      </w:r>
    </w:p>
    <w:p>
      <w:r>
        <w:rPr>
          <w:b w:val="0"/>
          <w:i w:val="0"/>
          <w:sz w:val="24"/>
        </w:rPr>
        <w:t>This technical specification document for the iFlow "Get_Data_SV" serves as a comprehensive blueprint, capturing the configuration and design details of the integration flow. It outlines key properties, such as transport protocols (HTTP), message protocols (OData V2), sender/receiver configurations, and endpoint addresses. This document also specifies security settings like authentication methods and CSRF protection. The specification further defines data mapping and transformation rules, providing a single source of truth for developers, testers, and administrators involved in the iFlow's lifecycle. Ultimately, this document facilitates consistent implementation, troubleshooting, and maintenance of the "Get_Data_SV" iFlow.</w:t>
        <w:br/>
      </w:r>
    </w:p>
    <w:p>
      <w:pPr>
        <w:pStyle w:val="Heading1"/>
      </w:pPr>
      <w:r>
        <w:t>3. High level iFlow Design</w:t>
      </w:r>
    </w:p>
    <w:p>
      <w:r>
        <w:rPr>
          <w:b w:val="0"/>
          <w:i w:val="0"/>
          <w:sz w:val="24"/>
        </w:rPr>
        <w:t>The iFlow `Get_Data_SV` is initiated by a Timer Start Event. It then sends a request to an external system using a Request Reply step. The response is then filtered based on the `/Customers/Customer/CompanyName` XPath expression. After filtering, the message content is modified using a Content Modifier. Finally, the iFlow terminates at the End Event.</w:t>
        <w:br/>
      </w:r>
    </w:p>
    <w:p>
      <w:r>
        <w:drawing>
          <wp:inline xmlns:a="http://schemas.openxmlformats.org/drawingml/2006/main" xmlns:pic="http://schemas.openxmlformats.org/drawingml/2006/picture">
            <wp:extent cx="5486400" cy="1828800"/>
            <wp:docPr id="1" name="Picture 1"/>
            <wp:cNvGraphicFramePr>
              <a:graphicFrameLocks noChangeAspect="1"/>
            </wp:cNvGraphicFramePr>
            <a:graphic>
              <a:graphicData uri="http://schemas.openxmlformats.org/drawingml/2006/picture">
                <pic:pic>
                  <pic:nvPicPr>
                    <pic:cNvPr id="0" name="bpmn_diagram.png"/>
                    <pic:cNvPicPr/>
                  </pic:nvPicPr>
                  <pic:blipFill>
                    <a:blip r:embed="rId11"/>
                    <a:stretch>
                      <a:fillRect/>
                    </a:stretch>
                  </pic:blipFill>
                  <pic:spPr>
                    <a:xfrm>
                      <a:off x="0" y="0"/>
                      <a:ext cx="5486400" cy="1828800"/>
                    </a:xfrm>
                    <a:prstGeom prst="rect"/>
                  </pic:spPr>
                </pic:pic>
              </a:graphicData>
            </a:graphic>
          </wp:inline>
        </w:drawing>
      </w:r>
    </w:p>
    <w:p>
      <w:pPr>
        <w:jc w:val="center"/>
      </w:pPr>
      <w:r>
        <w:rPr>
          <w:b w:val="0"/>
          <w:i w:val="0"/>
          <w:sz w:val="24"/>
        </w:rPr>
        <w:t>Figure: High level BPMN iFlow message and sequence flow</w:t>
      </w:r>
    </w:p>
    <w:p>
      <w:pPr>
        <w:pStyle w:val="Heading1"/>
      </w:pPr>
      <w:r>
        <w:t>4. Message Flow</w:t>
      </w:r>
    </w:p>
    <w:p>
      <w:r>
        <w:rPr>
          <w:b w:val="0"/>
          <w:i w:val="0"/>
          <w:sz w:val="24"/>
        </w:rPr>
        <w:t>The iFlow contains a message flow named "OData" with id "MessageFlow_9".  It connects a source "ServiceTask_6" to a target "Participant_2" using the OData V2 protocol over HTTP as a receiver. The component is an HCIOData adapter from SAP with version 1.26 and queries the "Customers" resource. The endpoint is `https://services.odata.org/V2/northwind/northwind.svc`, selecting specific customer fields, and CSRF protection is enabled. Authentication is set to None, and attachments are enabled for MPL.</w:t>
        <w:br/>
      </w:r>
    </w:p>
    <w:tbl>
      <w:tblPr>
        <w:tblStyle w:val="TableGrid"/>
        <w:tblW w:type="auto" w:w="0"/>
        <w:tblLook w:firstColumn="1" w:firstRow="1" w:lastColumn="0" w:lastRow="0" w:noHBand="0" w:noVBand="1" w:val="04A0"/>
      </w:tblPr>
      <w:tblGrid>
        <w:gridCol w:w="2880"/>
        <w:gridCol w:w="2880"/>
        <w:gridCol w:w="2880"/>
      </w:tblGrid>
      <w:tr>
        <w:tc>
          <w:tcPr>
            <w:tcW w:type="dxa" w:w="2880"/>
          </w:tcPr>
          <w:p>
            <w:r>
              <w:rPr>
                <w:b/>
                <w:color w:val="003366"/>
              </w:rPr>
              <w:t>Source</w:t>
            </w:r>
          </w:p>
        </w:tc>
        <w:tc>
          <w:tcPr>
            <w:tcW w:type="dxa" w:w="2880"/>
          </w:tcPr>
          <w:p>
            <w:r>
              <w:rPr>
                <w:b/>
                <w:color w:val="003366"/>
              </w:rPr>
              <w:t>Target</w:t>
            </w:r>
          </w:p>
        </w:tc>
        <w:tc>
          <w:tcPr>
            <w:tcW w:type="dxa" w:w="2880"/>
          </w:tcPr>
          <w:p>
            <w:r>
              <w:rPr>
                <w:b/>
                <w:color w:val="003366"/>
              </w:rPr>
              <w:t>Name</w:t>
            </w:r>
          </w:p>
        </w:tc>
      </w:tr>
      <w:tr>
        <w:tc>
          <w:tcPr>
            <w:tcW w:type="dxa" w:w="2880"/>
          </w:tcPr>
          <w:p>
            <w:r>
              <w:t>Request Reply 1</w:t>
            </w:r>
          </w:p>
        </w:tc>
        <w:tc>
          <w:tcPr>
            <w:tcW w:type="dxa" w:w="2880"/>
          </w:tcPr>
          <w:p>
            <w:r>
              <w:t>Receiver</w:t>
            </w:r>
          </w:p>
        </w:tc>
        <w:tc>
          <w:tcPr>
            <w:tcW w:type="dxa" w:w="2880"/>
          </w:tcPr>
          <w:p>
            <w:r>
              <w:t>OData</w:t>
            </w:r>
          </w:p>
        </w:tc>
      </w:tr>
    </w:tbl>
    <w:p>
      <w:pPr>
        <w:pStyle w:val="Heading1"/>
      </w:pPr>
      <w:r>
        <w:t>5. Technical Description</w:t>
      </w:r>
    </w:p>
    <w:p>
      <w:pPr>
        <w:pStyle w:val="Heading2"/>
      </w:pPr>
      <w:r>
        <w:t xml:space="preserve">5.1. Main Integration Process </w:t>
      </w:r>
    </w:p>
    <w:p>
      <w:r>
        <w:rPr>
          <w:b w:val="0"/>
          <w:i w:val="0"/>
          <w:sz w:val="24"/>
        </w:rPr>
        <w:t>The iFlow's main integration process, named "Integration Process" (id: Process_1), begins with a "Start Timer 1" event (id: StartEvent_4) configured for immediate execution.  It then invokes a "Request Reply 1" service task (id: ServiceTask_6) to call an external service. Subsequently, a "Filter 1" call activity (id: CallActivity_10) filters based on the CompanyName from `/Customers/Customer/CompanyName` and a "Content Modifier 1" call activity (id: CallActivity_12) enriches the message.  The process concludes with an "End" end event (id: EndEvent_2). Transactional handling is set to "Not Required" with a timeout of 30.</w:t>
        <w:br/>
      </w:r>
    </w:p>
    <w:tbl>
      <w:tblPr>
        <w:tblStyle w:val="TableGrid"/>
        <w:tblW w:type="auto" w:w="0"/>
        <w:tblLook w:firstColumn="1" w:firstRow="1" w:lastColumn="0" w:lastRow="0" w:noHBand="0" w:noVBand="1" w:val="04A0"/>
      </w:tblPr>
      <w:tblGrid>
        <w:gridCol w:w="2880"/>
        <w:gridCol w:w="2880"/>
        <w:gridCol w:w="2880"/>
      </w:tblGrid>
      <w:tr>
        <w:tc>
          <w:tcPr>
            <w:tcW w:type="dxa" w:w="2880"/>
          </w:tcPr>
          <w:p>
            <w:r>
              <w:rPr>
                <w:b/>
                <w:color w:val="003366"/>
              </w:rPr>
              <w:t>Component Name</w:t>
            </w:r>
          </w:p>
        </w:tc>
        <w:tc>
          <w:tcPr>
            <w:tcW w:type="dxa" w:w="2880"/>
          </w:tcPr>
          <w:p>
            <w:r>
              <w:rPr>
                <w:b/>
                <w:color w:val="003366"/>
              </w:rPr>
              <w:t>Key</w:t>
            </w:r>
          </w:p>
        </w:tc>
        <w:tc>
          <w:tcPr>
            <w:tcW w:type="dxa" w:w="2880"/>
          </w:tcPr>
          <w:p>
            <w:r>
              <w:rPr>
                <w:b/>
                <w:color w:val="003366"/>
              </w:rPr>
              <w:t>Value</w:t>
            </w:r>
          </w:p>
        </w:tc>
      </w:tr>
      <w:tr>
        <w:tc>
          <w:tcPr>
            <w:tcW w:type="dxa" w:w="2880"/>
          </w:tcPr>
          <w:p>
            <w:r>
              <w:t>Integration Process</w:t>
            </w:r>
          </w:p>
        </w:tc>
        <w:tc>
          <w:tcPr>
            <w:tcW w:type="dxa" w:w="2880"/>
          </w:tcPr>
          <w:p>
            <w:r>
              <w:t>Transaction Timeout</w:t>
            </w:r>
          </w:p>
        </w:tc>
        <w:tc>
          <w:tcPr>
            <w:tcW w:type="dxa" w:w="2880"/>
          </w:tcPr>
          <w:p>
            <w:r>
              <w:t>30</w:t>
            </w:r>
          </w:p>
        </w:tc>
      </w:tr>
      <w:tr>
        <w:tc>
          <w:tcPr>
            <w:tcW w:type="dxa" w:w="2880"/>
          </w:tcPr>
          <w:p>
            <w:r>
              <w:t>Integration Process</w:t>
            </w:r>
          </w:p>
        </w:tc>
        <w:tc>
          <w:tcPr>
            <w:tcW w:type="dxa" w:w="2880"/>
          </w:tcPr>
          <w:p>
            <w:r>
              <w:t>Component Version</w:t>
            </w:r>
          </w:p>
        </w:tc>
        <w:tc>
          <w:tcPr>
            <w:tcW w:type="dxa" w:w="2880"/>
          </w:tcPr>
          <w:p>
            <w:r>
              <w:t>1.2</w:t>
            </w:r>
          </w:p>
        </w:tc>
      </w:tr>
      <w:tr>
        <w:tc>
          <w:tcPr>
            <w:tcW w:type="dxa" w:w="2880"/>
          </w:tcPr>
          <w:p>
            <w:r>
              <w:t>Integration Process</w:t>
            </w:r>
          </w:p>
        </w:tc>
        <w:tc>
          <w:tcPr>
            <w:tcW w:type="dxa" w:w="2880"/>
          </w:tcPr>
          <w:p>
            <w:r>
              <w:t>Cmd Variant Uri</w:t>
            </w:r>
          </w:p>
        </w:tc>
        <w:tc>
          <w:tcPr>
            <w:tcW w:type="dxa" w:w="2880"/>
          </w:tcPr>
          <w:p>
            <w:r>
              <w:t>ctype::FlowElementVariant/cname::IntegrationProcess/version::1.2.1</w:t>
            </w:r>
          </w:p>
        </w:tc>
      </w:tr>
      <w:tr>
        <w:tc>
          <w:tcPr>
            <w:tcW w:type="dxa" w:w="2880"/>
          </w:tcPr>
          <w:p>
            <w:r>
              <w:t>Integration Process</w:t>
            </w:r>
          </w:p>
        </w:tc>
        <w:tc>
          <w:tcPr>
            <w:tcW w:type="dxa" w:w="2880"/>
          </w:tcPr>
          <w:p>
            <w:r>
              <w:t>Transactional Handling</w:t>
            </w:r>
          </w:p>
        </w:tc>
        <w:tc>
          <w:tcPr>
            <w:tcW w:type="dxa" w:w="2880"/>
          </w:tcPr>
          <w:p>
            <w:r>
              <w:t>Not Required</w:t>
            </w:r>
          </w:p>
        </w:tc>
      </w:tr>
    </w:tbl>
    <w:p>
      <w:pPr>
        <w:pStyle w:val="Heading3"/>
      </w:pPr>
      <w:r>
        <w:t>callActivity Filter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Xpath Type</w:t>
            </w:r>
          </w:p>
        </w:tc>
        <w:tc>
          <w:tcPr>
            <w:tcW w:type="dxa" w:w="4320"/>
          </w:tcPr>
          <w:p>
            <w:r>
              <w:t>String</w:t>
            </w:r>
          </w:p>
        </w:tc>
      </w:tr>
      <w:tr>
        <w:tc>
          <w:tcPr>
            <w:tcW w:type="dxa" w:w="4320"/>
          </w:tcPr>
          <w:p>
            <w:r>
              <w:t>Wrap Content</w:t>
            </w:r>
          </w:p>
        </w:tc>
        <w:tc>
          <w:tcPr>
            <w:tcW w:type="dxa" w:w="4320"/>
          </w:tcPr>
          <w:p>
            <w:r>
              <w:t>/Customers/Customer/CompanyName</w:t>
            </w:r>
          </w:p>
        </w:tc>
      </w:tr>
      <w:tr>
        <w:tc>
          <w:tcPr>
            <w:tcW w:type="dxa" w:w="4320"/>
          </w:tcPr>
          <w:p>
            <w:r>
              <w:t>Component Version</w:t>
            </w:r>
          </w:p>
        </w:tc>
        <w:tc>
          <w:tcPr>
            <w:tcW w:type="dxa" w:w="4320"/>
          </w:tcPr>
          <w:p>
            <w:r>
              <w:t>1.1</w:t>
            </w:r>
          </w:p>
        </w:tc>
      </w:tr>
      <w:tr>
        <w:tc>
          <w:tcPr>
            <w:tcW w:type="dxa" w:w="4320"/>
          </w:tcPr>
          <w:p>
            <w:r>
              <w:t>Activity Type</w:t>
            </w:r>
          </w:p>
        </w:tc>
        <w:tc>
          <w:tcPr>
            <w:tcW w:type="dxa" w:w="4320"/>
          </w:tcPr>
          <w:p>
            <w:r>
              <w:t>Filter</w:t>
            </w:r>
          </w:p>
        </w:tc>
      </w:tr>
      <w:tr>
        <w:tc>
          <w:tcPr>
            <w:tcW w:type="dxa" w:w="4320"/>
          </w:tcPr>
          <w:p>
            <w:r>
              <w:t>Cmd Variant Uri</w:t>
            </w:r>
          </w:p>
        </w:tc>
        <w:tc>
          <w:tcPr>
            <w:tcW w:type="dxa" w:w="4320"/>
          </w:tcPr>
          <w:p>
            <w:r>
              <w:t>ctype::FlowstepVariant/cname::Filter/version::1.1.0</w:t>
            </w:r>
          </w:p>
        </w:tc>
      </w:tr>
    </w:tbl>
    <w:p>
      <w:pPr>
        <w:pStyle w:val="Heading3"/>
      </w:pPr>
      <w:r>
        <w:t>serviceTask Request Reply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Component Version</w:t>
            </w:r>
          </w:p>
        </w:tc>
        <w:tc>
          <w:tcPr>
            <w:tcW w:type="dxa" w:w="4320"/>
          </w:tcPr>
          <w:p>
            <w:r>
              <w:t>1.0</w:t>
            </w:r>
          </w:p>
        </w:tc>
      </w:tr>
      <w:tr>
        <w:tc>
          <w:tcPr>
            <w:tcW w:type="dxa" w:w="4320"/>
          </w:tcPr>
          <w:p>
            <w:r>
              <w:t>Activity Type</w:t>
            </w:r>
          </w:p>
        </w:tc>
        <w:tc>
          <w:tcPr>
            <w:tcW w:type="dxa" w:w="4320"/>
          </w:tcPr>
          <w:p>
            <w:r>
              <w:t>ExternalCall</w:t>
            </w:r>
          </w:p>
        </w:tc>
      </w:tr>
      <w:tr>
        <w:tc>
          <w:tcPr>
            <w:tcW w:type="dxa" w:w="4320"/>
          </w:tcPr>
          <w:p>
            <w:r>
              <w:t>Cmd Variant Uri</w:t>
            </w:r>
          </w:p>
        </w:tc>
        <w:tc>
          <w:tcPr>
            <w:tcW w:type="dxa" w:w="4320"/>
          </w:tcPr>
          <w:p>
            <w:r>
              <w:t>ctype::FlowstepVariant/cname::ExternalCall/version::1.0.4</w:t>
            </w:r>
          </w:p>
        </w:tc>
      </w:tr>
    </w:tbl>
    <w:p>
      <w:pPr>
        <w:pStyle w:val="Heading3"/>
      </w:pPr>
      <w:r>
        <w:t>endEvent End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Component Version</w:t>
            </w:r>
          </w:p>
        </w:tc>
        <w:tc>
          <w:tcPr>
            <w:tcW w:type="dxa" w:w="4320"/>
          </w:tcPr>
          <w:p>
            <w:r>
              <w:t>1.1</w:t>
            </w:r>
          </w:p>
        </w:tc>
      </w:tr>
      <w:tr>
        <w:tc>
          <w:tcPr>
            <w:tcW w:type="dxa" w:w="4320"/>
          </w:tcPr>
          <w:p>
            <w:r>
              <w:t>Cmd Variant Uri</w:t>
            </w:r>
          </w:p>
        </w:tc>
        <w:tc>
          <w:tcPr>
            <w:tcW w:type="dxa" w:w="4320"/>
          </w:tcPr>
          <w:p>
            <w:r>
              <w:t>ctype::FlowstepVariant/cname::MessageEndEvent/version::1.1.0</w:t>
            </w:r>
          </w:p>
        </w:tc>
      </w:tr>
    </w:tbl>
    <w:p>
      <w:pPr>
        <w:pStyle w:val="Heading3"/>
      </w:pPr>
      <w:r>
        <w:t>callActivity Content Modifier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Body Type</w:t>
            </w:r>
          </w:p>
        </w:tc>
        <w:tc>
          <w:tcPr>
            <w:tcW w:type="dxa" w:w="4320"/>
          </w:tcPr>
          <w:p>
            <w:r>
              <w:t>constant</w:t>
            </w:r>
          </w:p>
        </w:tc>
      </w:tr>
      <w:tr>
        <w:tc>
          <w:tcPr>
            <w:tcW w:type="dxa" w:w="4320"/>
          </w:tcPr>
          <w:p>
            <w:r>
              <w:t>Property Table</w:t>
            </w:r>
          </w:p>
        </w:tc>
        <w:tc>
          <w:tcPr>
            <w:tcW w:type="dxa" w:w="4320"/>
          </w:tcPr>
          <w:p>
            <w:r/>
          </w:p>
        </w:tc>
      </w:tr>
      <w:tr>
        <w:tc>
          <w:tcPr>
            <w:tcW w:type="dxa" w:w="4320"/>
          </w:tcPr>
          <w:p>
            <w:r>
              <w:t>Header Table</w:t>
            </w:r>
          </w:p>
        </w:tc>
        <w:tc>
          <w:tcPr>
            <w:tcW w:type="dxa" w:w="4320"/>
          </w:tcPr>
          <w:p>
            <w:r/>
          </w:p>
        </w:tc>
      </w:tr>
      <w:tr>
        <w:tc>
          <w:tcPr>
            <w:tcW w:type="dxa" w:w="4320"/>
          </w:tcPr>
          <w:p>
            <w:r>
              <w:t>Wrap Content</w:t>
            </w:r>
          </w:p>
        </w:tc>
        <w:tc>
          <w:tcPr>
            <w:tcW w:type="dxa" w:w="4320"/>
          </w:tcPr>
          <w:p>
            <w:r/>
          </w:p>
        </w:tc>
      </w:tr>
      <w:tr>
        <w:tc>
          <w:tcPr>
            <w:tcW w:type="dxa" w:w="4320"/>
          </w:tcPr>
          <w:p>
            <w:r>
              <w:t>Component Version</w:t>
            </w:r>
          </w:p>
        </w:tc>
        <w:tc>
          <w:tcPr>
            <w:tcW w:type="dxa" w:w="4320"/>
          </w:tcPr>
          <w:p>
            <w:r>
              <w:t>1.6</w:t>
            </w:r>
          </w:p>
        </w:tc>
      </w:tr>
      <w:tr>
        <w:tc>
          <w:tcPr>
            <w:tcW w:type="dxa" w:w="4320"/>
          </w:tcPr>
          <w:p>
            <w:r>
              <w:t>Activity Type</w:t>
            </w:r>
          </w:p>
        </w:tc>
        <w:tc>
          <w:tcPr>
            <w:tcW w:type="dxa" w:w="4320"/>
          </w:tcPr>
          <w:p>
            <w:r>
              <w:t>Enricher</w:t>
            </w:r>
          </w:p>
        </w:tc>
      </w:tr>
      <w:tr>
        <w:tc>
          <w:tcPr>
            <w:tcW w:type="dxa" w:w="4320"/>
          </w:tcPr>
          <w:p>
            <w:r>
              <w:t>Cmd Variant Uri</w:t>
            </w:r>
          </w:p>
        </w:tc>
        <w:tc>
          <w:tcPr>
            <w:tcW w:type="dxa" w:w="4320"/>
          </w:tcPr>
          <w:p>
            <w:r>
              <w:t>ctype::FlowstepVariant/cname::Enricher/version::1.6.1</w:t>
            </w:r>
          </w:p>
        </w:tc>
      </w:tr>
    </w:tbl>
    <w:p>
      <w:pPr>
        <w:pStyle w:val="Heading2"/>
      </w:pPr>
      <w:r>
        <w:t xml:space="preserve">5.2. Local Integration Process </w:t>
      </w:r>
    </w:p>
    <w:p>
      <w:r>
        <w:rPr>
          <w:b w:val="0"/>
          <w:i w:val="0"/>
          <w:sz w:val="24"/>
        </w:rPr>
        <w:t>Okay, provide the XML. I need the XML code to summarize the Main Integration Process section of the SAP iFlow "Process_1" in a human-friendly, technical style within 5 sentences. Once you provide the XML, I will analyze it and generate the summary.</w:t>
        <w:br/>
      </w:r>
    </w:p>
    <w:p>
      <w:r>
        <w:rPr>
          <w:b w:val="0"/>
          <w:i w:val="0"/>
          <w:sz w:val="24"/>
        </w:rPr>
        <w:t>No process with id='Process_1' found.</w:t>
      </w:r>
    </w:p>
    <w:p>
      <w:pPr>
        <w:pStyle w:val="Heading2"/>
      </w:pPr>
      <w:r>
        <w:t>5.3. Sender</w:t>
      </w:r>
    </w:p>
    <w:p>
      <w:r>
        <w:rPr>
          <w:b w:val="0"/>
          <w:i w:val="0"/>
          <w:sz w:val="24"/>
        </w:rPr>
        <w:t>Based on the provided XML snippet, the sender configuration lacks any specific details. The `SenderProperties` tag is empty, indicating a default or undefined sender setup. Without further information, we can only infer that the sender system, protocol, and authentication are either implicitly configured elsewhere or inheriting default values. The business role of this endpoint is ambiguous, requiring additional context from the surrounding iFlow definition to determine its purpose and interactions within the integration scenario. It's crucial to investigate related configuration elements to fully understand this sender's functionality.</w:t>
        <w:br/>
      </w:r>
    </w:p>
    <w:p>
      <w:pPr>
        <w:pStyle w:val="Heading2"/>
      </w:pPr>
      <w:r>
        <w:t>5.4. Receiver</w:t>
      </w:r>
    </w:p>
    <w:p>
      <w:r>
        <w:rPr>
          <w:b w:val="0"/>
          <w:i w:val="0"/>
          <w:sz w:val="24"/>
        </w:rPr>
        <w:t>The Receiver channel in this SAP iFlow uses the `HCIOData` adapter to consume data via the `OData V2` protocol over `HTTP`. The receiver component is configured to query the `Customers` resource located at `https://services.odata.org/V2/northwind/northwind.svc`. It utilizes a default proxy setting and sends requests with the `application/atom+xml` content type. The OData query includes a `$select` statement specifying which fields should be returned in the response. The component enables CSRF protection and TLS Session reuse while operating with a timeout of 1 minute.</w:t>
        <w:br/>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Description</w:t>
            </w:r>
          </w:p>
        </w:tc>
        <w:tc>
          <w:tcPr>
            <w:tcW w:type="dxa" w:w="4320"/>
          </w:tcPr>
          <w:p>
            <w:r/>
          </w:p>
        </w:tc>
      </w:tr>
      <w:tr>
        <w:tc>
          <w:tcPr>
            <w:tcW w:type="dxa" w:w="4320"/>
          </w:tcPr>
          <w:p>
            <w:r>
              <w:t>Pagination</w:t>
            </w:r>
          </w:p>
        </w:tc>
        <w:tc>
          <w:tcPr>
            <w:tcW w:type="dxa" w:w="4320"/>
          </w:tcPr>
          <w:p>
            <w:r>
              <w:t>0</w:t>
            </w:r>
          </w:p>
        </w:tc>
      </w:tr>
      <w:tr>
        <w:tc>
          <w:tcPr>
            <w:tcW w:type="dxa" w:w="4320"/>
          </w:tcPr>
          <w:p>
            <w:r>
              <w:t>Odata Cert Auth Private Key Alias</w:t>
            </w:r>
          </w:p>
        </w:tc>
        <w:tc>
          <w:tcPr>
            <w:tcW w:type="dxa" w:w="4320"/>
          </w:tcPr>
          <w:p>
            <w:r/>
          </w:p>
        </w:tc>
      </w:tr>
      <w:tr>
        <w:tc>
          <w:tcPr>
            <w:tcW w:type="dxa" w:w="4320"/>
          </w:tcPr>
          <w:p>
            <w:r>
              <w:t>Api Artifact Type</w:t>
            </w:r>
          </w:p>
        </w:tc>
        <w:tc>
          <w:tcPr>
            <w:tcW w:type="dxa" w:w="4320"/>
          </w:tcPr>
          <w:p>
            <w:r/>
          </w:p>
        </w:tc>
      </w:tr>
      <w:tr>
        <w:tc>
          <w:tcPr>
            <w:tcW w:type="dxa" w:w="4320"/>
          </w:tcPr>
          <w:p>
            <w:r>
              <w:t>Provider Auth</w:t>
            </w:r>
          </w:p>
        </w:tc>
        <w:tc>
          <w:tcPr>
            <w:tcW w:type="dxa" w:w="4320"/>
          </w:tcPr>
          <w:p>
            <w:r/>
          </w:p>
        </w:tc>
      </w:tr>
      <w:tr>
        <w:tc>
          <w:tcPr>
            <w:tcW w:type="dxa" w:w="4320"/>
          </w:tcPr>
          <w:p>
            <w:r>
              <w:t>Component N S</w:t>
            </w:r>
          </w:p>
        </w:tc>
        <w:tc>
          <w:tcPr>
            <w:tcW w:type="dxa" w:w="4320"/>
          </w:tcPr>
          <w:p>
            <w:r>
              <w:t>sap</w:t>
            </w:r>
          </w:p>
        </w:tc>
      </w:tr>
      <w:tr>
        <w:tc>
          <w:tcPr>
            <w:tcW w:type="dxa" w:w="4320"/>
          </w:tcPr>
          <w:p>
            <w:r>
              <w:t>Resource Path</w:t>
            </w:r>
          </w:p>
        </w:tc>
        <w:tc>
          <w:tcPr>
            <w:tcW w:type="dxa" w:w="4320"/>
          </w:tcPr>
          <w:p>
            <w:r>
              <w:t>Customers</w:t>
            </w:r>
          </w:p>
        </w:tc>
      </w:tr>
      <w:tr>
        <w:tc>
          <w:tcPr>
            <w:tcW w:type="dxa" w:w="4320"/>
          </w:tcPr>
          <w:p>
            <w:r>
              <w:t>Custom Query Options</w:t>
            </w:r>
          </w:p>
        </w:tc>
        <w:tc>
          <w:tcPr>
            <w:tcW w:type="dxa" w:w="4320"/>
          </w:tcPr>
          <w:p>
            <w:r/>
          </w:p>
        </w:tc>
      </w:tr>
      <w:tr>
        <w:tc>
          <w:tcPr>
            <w:tcW w:type="dxa" w:w="4320"/>
          </w:tcPr>
          <w:p>
            <w:r>
              <w:t>Metadata Allowed U R I Params</w:t>
            </w:r>
          </w:p>
        </w:tc>
        <w:tc>
          <w:tcPr>
            <w:tcW w:type="dxa" w:w="4320"/>
          </w:tcPr>
          <w:p>
            <w:r/>
          </w:p>
        </w:tc>
      </w:tr>
      <w:tr>
        <w:tc>
          <w:tcPr>
            <w:tcW w:type="dxa" w:w="4320"/>
          </w:tcPr>
          <w:p>
            <w:r>
              <w:t>Name</w:t>
            </w:r>
          </w:p>
        </w:tc>
        <w:tc>
          <w:tcPr>
            <w:tcW w:type="dxa" w:w="4320"/>
          </w:tcPr>
          <w:p>
            <w:r>
              <w:t>OData</w:t>
            </w:r>
          </w:p>
        </w:tc>
      </w:tr>
      <w:tr>
        <w:tc>
          <w:tcPr>
            <w:tcW w:type="dxa" w:w="4320"/>
          </w:tcPr>
          <w:p>
            <w:r>
              <w:t>Internet Proxy Type</w:t>
            </w:r>
          </w:p>
        </w:tc>
        <w:tc>
          <w:tcPr>
            <w:tcW w:type="dxa" w:w="4320"/>
          </w:tcPr>
          <w:p>
            <w:r/>
          </w:p>
        </w:tc>
      </w:tr>
      <w:tr>
        <w:tc>
          <w:tcPr>
            <w:tcW w:type="dxa" w:w="4320"/>
          </w:tcPr>
          <w:p>
            <w:r>
              <w:t>Transport Protocol Version</w:t>
            </w:r>
          </w:p>
        </w:tc>
        <w:tc>
          <w:tcPr>
            <w:tcW w:type="dxa" w:w="4320"/>
          </w:tcPr>
          <w:p>
            <w:r>
              <w:t>1.26.0</w:t>
            </w:r>
          </w:p>
        </w:tc>
      </w:tr>
      <w:tr>
        <w:tc>
          <w:tcPr>
            <w:tcW w:type="dxa" w:w="4320"/>
          </w:tcPr>
          <w:p>
            <w:r>
              <w:t>Proxy Port</w:t>
            </w:r>
          </w:p>
        </w:tc>
        <w:tc>
          <w:tcPr>
            <w:tcW w:type="dxa" w:w="4320"/>
          </w:tcPr>
          <w:p>
            <w:r/>
          </w:p>
        </w:tc>
      </w:tr>
      <w:tr>
        <w:tc>
          <w:tcPr>
            <w:tcW w:type="dxa" w:w="4320"/>
          </w:tcPr>
          <w:p>
            <w:r>
              <w:t>Component S W C V Name</w:t>
            </w:r>
          </w:p>
        </w:tc>
        <w:tc>
          <w:tcPr>
            <w:tcW w:type="dxa" w:w="4320"/>
          </w:tcPr>
          <w:p>
            <w:r>
              <w:t>external</w:t>
            </w:r>
          </w:p>
        </w:tc>
      </w:tr>
      <w:tr>
        <w:tc>
          <w:tcPr>
            <w:tcW w:type="dxa" w:w="4320"/>
          </w:tcPr>
          <w:p>
            <w:r>
              <w:t>Enable M P L Attachments</w:t>
            </w:r>
          </w:p>
        </w:tc>
        <w:tc>
          <w:tcPr>
            <w:tcW w:type="dxa" w:w="4320"/>
          </w:tcPr>
          <w:p>
            <w:r>
              <w:t>true</w:t>
            </w:r>
          </w:p>
        </w:tc>
      </w:tr>
      <w:tr>
        <w:tc>
          <w:tcPr>
            <w:tcW w:type="dxa" w:w="4320"/>
          </w:tcPr>
          <w:p>
            <w:r>
              <w:t>Receive Time Out</w:t>
            </w:r>
          </w:p>
        </w:tc>
        <w:tc>
          <w:tcPr>
            <w:tcW w:type="dxa" w:w="4320"/>
          </w:tcPr>
          <w:p>
            <w:r>
              <w:t>1</w:t>
            </w:r>
          </w:p>
        </w:tc>
      </w:tr>
      <w:tr>
        <w:tc>
          <w:tcPr>
            <w:tcW w:type="dxa" w:w="4320"/>
          </w:tcPr>
          <w:p>
            <w:r>
              <w:t>Alias</w:t>
            </w:r>
          </w:p>
        </w:tc>
        <w:tc>
          <w:tcPr>
            <w:tcW w:type="dxa" w:w="4320"/>
          </w:tcPr>
          <w:p>
            <w:r/>
          </w:p>
        </w:tc>
      </w:tr>
      <w:tr>
        <w:tc>
          <w:tcPr>
            <w:tcW w:type="dxa" w:w="4320"/>
          </w:tcPr>
          <w:p>
            <w:r>
              <w:t>Content Type</w:t>
            </w:r>
          </w:p>
        </w:tc>
        <w:tc>
          <w:tcPr>
            <w:tcW w:type="dxa" w:w="4320"/>
          </w:tcPr>
          <w:p>
            <w:r>
              <w:t>application/atom+xml</w:t>
            </w:r>
          </w:p>
        </w:tc>
      </w:tr>
      <w:tr>
        <w:tc>
          <w:tcPr>
            <w:tcW w:type="dxa" w:w="4320"/>
          </w:tcPr>
          <w:p>
            <w:r>
              <w:t>Component S W C V Id</w:t>
            </w:r>
          </w:p>
        </w:tc>
        <w:tc>
          <w:tcPr>
            <w:tcW w:type="dxa" w:w="4320"/>
          </w:tcPr>
          <w:p>
            <w:r>
              <w:t>1.26.0</w:t>
            </w:r>
          </w:p>
        </w:tc>
      </w:tr>
      <w:tr>
        <w:tc>
          <w:tcPr>
            <w:tcW w:type="dxa" w:w="4320"/>
          </w:tcPr>
          <w:p>
            <w:r>
              <w:t>Provider Name</w:t>
            </w:r>
          </w:p>
        </w:tc>
        <w:tc>
          <w:tcPr>
            <w:tcW w:type="dxa" w:w="4320"/>
          </w:tcPr>
          <w:p>
            <w:r/>
          </w:p>
        </w:tc>
      </w:tr>
      <w:tr>
        <w:tc>
          <w:tcPr>
            <w:tcW w:type="dxa" w:w="4320"/>
          </w:tcPr>
          <w:p>
            <w:r>
              <w:t>Message Protocol</w:t>
            </w:r>
          </w:p>
        </w:tc>
        <w:tc>
          <w:tcPr>
            <w:tcW w:type="dxa" w:w="4320"/>
          </w:tcPr>
          <w:p>
            <w:r>
              <w:t>OData V2</w:t>
            </w:r>
          </w:p>
        </w:tc>
      </w:tr>
      <w:tr>
        <w:tc>
          <w:tcPr>
            <w:tcW w:type="dxa" w:w="4320"/>
          </w:tcPr>
          <w:p>
            <w:r>
              <w:t>Direction</w:t>
            </w:r>
          </w:p>
        </w:tc>
        <w:tc>
          <w:tcPr>
            <w:tcW w:type="dxa" w:w="4320"/>
          </w:tcPr>
          <w:p>
            <w:r>
              <w:t>Receiver</w:t>
            </w:r>
          </w:p>
        </w:tc>
      </w:tr>
      <w:tr>
        <w:tc>
          <w:tcPr>
            <w:tcW w:type="dxa" w:w="4320"/>
          </w:tcPr>
          <w:p>
            <w:r>
              <w:t>Scc Location Id</w:t>
            </w:r>
          </w:p>
        </w:tc>
        <w:tc>
          <w:tcPr>
            <w:tcW w:type="dxa" w:w="4320"/>
          </w:tcPr>
          <w:p>
            <w:r/>
          </w:p>
        </w:tc>
      </w:tr>
      <w:tr>
        <w:tc>
          <w:tcPr>
            <w:tcW w:type="dxa" w:w="4320"/>
          </w:tcPr>
          <w:p>
            <w:r>
              <w:t>Metadata Allowed Headers</w:t>
            </w:r>
          </w:p>
        </w:tc>
        <w:tc>
          <w:tcPr>
            <w:tcW w:type="dxa" w:w="4320"/>
          </w:tcPr>
          <w:p>
            <w:r/>
          </w:p>
        </w:tc>
      </w:tr>
      <w:tr>
        <w:tc>
          <w:tcPr>
            <w:tcW w:type="dxa" w:w="4320"/>
          </w:tcPr>
          <w:p>
            <w:r>
              <w:t>Component Type</w:t>
            </w:r>
          </w:p>
        </w:tc>
        <w:tc>
          <w:tcPr>
            <w:tcW w:type="dxa" w:w="4320"/>
          </w:tcPr>
          <w:p>
            <w:r>
              <w:t>HCIOData</w:t>
            </w:r>
          </w:p>
        </w:tc>
      </w:tr>
      <w:tr>
        <w:tc>
          <w:tcPr>
            <w:tcW w:type="dxa" w:w="4320"/>
          </w:tcPr>
          <w:p>
            <w:r>
              <w:t>Address</w:t>
            </w:r>
          </w:p>
        </w:tc>
        <w:tc>
          <w:tcPr>
            <w:tcW w:type="dxa" w:w="4320"/>
          </w:tcPr>
          <w:p>
            <w:r>
              <w:t>https://services.odata.org/V2/northwind/northwind.svc</w:t>
            </w:r>
          </w:p>
        </w:tc>
      </w:tr>
      <w:tr>
        <w:tc>
          <w:tcPr>
            <w:tcW w:type="dxa" w:w="4320"/>
          </w:tcPr>
          <w:p>
            <w:r>
              <w:t>Query Options</w:t>
            </w:r>
          </w:p>
        </w:tc>
        <w:tc>
          <w:tcPr>
            <w:tcW w:type="dxa" w:w="4320"/>
          </w:tcPr>
          <w:p>
            <w:r>
              <w:t>$select=CustomerID,CompanyName,ContactName,ContactTitle,Address,City,Region,PostalCode,Country,Phone,Fax</w:t>
            </w:r>
          </w:p>
        </w:tc>
      </w:tr>
      <w:tr>
        <w:tc>
          <w:tcPr>
            <w:tcW w:type="dxa" w:w="4320"/>
          </w:tcPr>
          <w:p>
            <w:r>
              <w:t>Proxy Type</w:t>
            </w:r>
          </w:p>
        </w:tc>
        <w:tc>
          <w:tcPr>
            <w:tcW w:type="dxa" w:w="4320"/>
          </w:tcPr>
          <w:p>
            <w:r>
              <w:t>default</w:t>
            </w:r>
          </w:p>
        </w:tc>
      </w:tr>
      <w:tr>
        <w:tc>
          <w:tcPr>
            <w:tcW w:type="dxa" w:w="4320"/>
          </w:tcPr>
          <w:p>
            <w:r>
              <w:t>Is C S R F Enabled</w:t>
            </w:r>
          </w:p>
        </w:tc>
        <w:tc>
          <w:tcPr>
            <w:tcW w:type="dxa" w:w="4320"/>
          </w:tcPr>
          <w:p>
            <w:r>
              <w:t>true</w:t>
            </w:r>
          </w:p>
        </w:tc>
      </w:tr>
      <w:tr>
        <w:tc>
          <w:tcPr>
            <w:tcW w:type="dxa" w:w="4320"/>
          </w:tcPr>
          <w:p>
            <w:r>
              <w:t>Component Version</w:t>
            </w:r>
          </w:p>
        </w:tc>
        <w:tc>
          <w:tcPr>
            <w:tcW w:type="dxa" w:w="4320"/>
          </w:tcPr>
          <w:p>
            <w:r>
              <w:t>1.26</w:t>
            </w:r>
          </w:p>
        </w:tc>
      </w:tr>
      <w:tr>
        <w:tc>
          <w:tcPr>
            <w:tcW w:type="dxa" w:w="4320"/>
          </w:tcPr>
          <w:p>
            <w:r>
              <w:t>Proxy Host</w:t>
            </w:r>
          </w:p>
        </w:tc>
        <w:tc>
          <w:tcPr>
            <w:tcW w:type="dxa" w:w="4320"/>
          </w:tcPr>
          <w:p>
            <w:r/>
          </w:p>
        </w:tc>
      </w:tr>
      <w:tr>
        <w:tc>
          <w:tcPr>
            <w:tcW w:type="dxa" w:w="4320"/>
          </w:tcPr>
          <w:p>
            <w:r>
              <w:t>Edmx File Path</w:t>
            </w:r>
          </w:p>
        </w:tc>
        <w:tc>
          <w:tcPr>
            <w:tcW w:type="dxa" w:w="4320"/>
          </w:tcPr>
          <w:p>
            <w:r>
              <w:t>edmx/services_odata_org_V2_northwind_northwind_svc.edmx</w:t>
            </w:r>
          </w:p>
        </w:tc>
      </w:tr>
      <w:tr>
        <w:tc>
          <w:tcPr>
            <w:tcW w:type="dxa" w:w="4320"/>
          </w:tcPr>
          <w:p>
            <w:r>
              <w:t>Provider Url</w:t>
            </w:r>
          </w:p>
        </w:tc>
        <w:tc>
          <w:tcPr>
            <w:tcW w:type="dxa" w:w="4320"/>
          </w:tcPr>
          <w:p>
            <w:r/>
          </w:p>
        </w:tc>
      </w:tr>
      <w:tr>
        <w:tc>
          <w:tcPr>
            <w:tcW w:type="dxa" w:w="4320"/>
          </w:tcPr>
          <w:p>
            <w:r>
              <w:t>Enable T L S Session Reuse</w:t>
            </w:r>
          </w:p>
        </w:tc>
        <w:tc>
          <w:tcPr>
            <w:tcW w:type="dxa" w:w="4320"/>
          </w:tcPr>
          <w:p>
            <w:r>
              <w:t>true</w:t>
            </w:r>
          </w:p>
        </w:tc>
      </w:tr>
      <w:tr>
        <w:tc>
          <w:tcPr>
            <w:tcW w:type="dxa" w:w="4320"/>
          </w:tcPr>
          <w:p>
            <w:r>
              <w:t>Odatapagesize</w:t>
            </w:r>
          </w:p>
        </w:tc>
        <w:tc>
          <w:tcPr>
            <w:tcW w:type="dxa" w:w="4320"/>
          </w:tcPr>
          <w:p>
            <w:r/>
          </w:p>
        </w:tc>
      </w:tr>
      <w:tr>
        <w:tc>
          <w:tcPr>
            <w:tcW w:type="dxa" w:w="4320"/>
          </w:tcPr>
          <w:p>
            <w:r>
              <w:t>System</w:t>
            </w:r>
          </w:p>
        </w:tc>
        <w:tc>
          <w:tcPr>
            <w:tcW w:type="dxa" w:w="4320"/>
          </w:tcPr>
          <w:p>
            <w:r>
              <w:t>Receiver</w:t>
            </w:r>
          </w:p>
        </w:tc>
      </w:tr>
      <w:tr>
        <w:tc>
          <w:tcPr>
            <w:tcW w:type="dxa" w:w="4320"/>
          </w:tcPr>
          <w:p>
            <w:r>
              <w:t>Authentication Method</w:t>
            </w:r>
          </w:p>
        </w:tc>
        <w:tc>
          <w:tcPr>
            <w:tcW w:type="dxa" w:w="4320"/>
          </w:tcPr>
          <w:p>
            <w:r>
              <w:t>None</w:t>
            </w:r>
          </w:p>
        </w:tc>
      </w:tr>
      <w:tr>
        <w:tc>
          <w:tcPr>
            <w:tcW w:type="dxa" w:w="4320"/>
          </w:tcPr>
          <w:p>
            <w:r>
              <w:t>Whitelist Response Headers</w:t>
            </w:r>
          </w:p>
        </w:tc>
        <w:tc>
          <w:tcPr>
            <w:tcW w:type="dxa" w:w="4320"/>
          </w:tcPr>
          <w:p>
            <w:r/>
          </w:p>
        </w:tc>
      </w:tr>
      <w:tr>
        <w:tc>
          <w:tcPr>
            <w:tcW w:type="dxa" w:w="4320"/>
          </w:tcPr>
          <w:p>
            <w:r>
              <w:t>Enable Batch Processing</w:t>
            </w:r>
          </w:p>
        </w:tc>
        <w:tc>
          <w:tcPr>
            <w:tcW w:type="dxa" w:w="4320"/>
          </w:tcPr>
          <w:p>
            <w:r>
              <w:t>0</w:t>
            </w:r>
          </w:p>
        </w:tc>
      </w:tr>
      <w:tr>
        <w:tc>
          <w:tcPr>
            <w:tcW w:type="dxa" w:w="4320"/>
          </w:tcPr>
          <w:p>
            <w:r>
              <w:t>Transport Protocol</w:t>
            </w:r>
          </w:p>
        </w:tc>
        <w:tc>
          <w:tcPr>
            <w:tcW w:type="dxa" w:w="4320"/>
          </w:tcPr>
          <w:p>
            <w:r>
              <w:t>HTTP</w:t>
            </w:r>
          </w:p>
        </w:tc>
      </w:tr>
      <w:tr>
        <w:tc>
          <w:tcPr>
            <w:tcW w:type="dxa" w:w="4320"/>
          </w:tcPr>
          <w:p>
            <w:r>
              <w:t>Character Encoding</w:t>
            </w:r>
          </w:p>
        </w:tc>
        <w:tc>
          <w:tcPr>
            <w:tcW w:type="dxa" w:w="4320"/>
          </w:tcPr>
          <w:p>
            <w:r>
              <w:t>none</w:t>
            </w:r>
          </w:p>
        </w:tc>
      </w:tr>
      <w:tr>
        <w:tc>
          <w:tcPr>
            <w:tcW w:type="dxa" w:w="4320"/>
          </w:tcPr>
          <w:p>
            <w:r>
              <w:t>Fields</w:t>
            </w:r>
          </w:p>
        </w:tc>
        <w:tc>
          <w:tcPr>
            <w:tcW w:type="dxa" w:w="4320"/>
          </w:tcPr>
          <w:p>
            <w:r/>
          </w:p>
        </w:tc>
      </w:tr>
      <w:tr>
        <w:tc>
          <w:tcPr>
            <w:tcW w:type="dxa" w:w="4320"/>
          </w:tcPr>
          <w:p>
            <w:r>
              <w:t>Cmd Variant Uri</w:t>
            </w:r>
          </w:p>
        </w:tc>
        <w:tc>
          <w:tcPr>
            <w:tcW w:type="dxa" w:w="4320"/>
          </w:tcPr>
          <w:p>
            <w:r>
              <w:t>ctype::AdapterVariant/cname::sap:HCIOData/tp::HTTP/mp::OData V2/direction::Receiver/version::1.26.0</w:t>
            </w:r>
          </w:p>
        </w:tc>
      </w:tr>
      <w:tr>
        <w:tc>
          <w:tcPr>
            <w:tcW w:type="dxa" w:w="4320"/>
          </w:tcPr>
          <w:p>
            <w:r>
              <w:t>Whitelist Request Headers</w:t>
            </w:r>
          </w:p>
        </w:tc>
        <w:tc>
          <w:tcPr>
            <w:tcW w:type="dxa" w:w="4320"/>
          </w:tcPr>
          <w:p>
            <w:r/>
          </w:p>
        </w:tc>
      </w:tr>
      <w:tr>
        <w:tc>
          <w:tcPr>
            <w:tcW w:type="dxa" w:w="4320"/>
          </w:tcPr>
          <w:p>
            <w:r>
              <w:t>Operation</w:t>
            </w:r>
          </w:p>
        </w:tc>
        <w:tc>
          <w:tcPr>
            <w:tcW w:type="dxa" w:w="4320"/>
          </w:tcPr>
          <w:p>
            <w:r>
              <w:t>Query(GET)</w:t>
            </w:r>
          </w:p>
        </w:tc>
      </w:tr>
      <w:tr>
        <w:tc>
          <w:tcPr>
            <w:tcW w:type="dxa" w:w="4320"/>
          </w:tcPr>
          <w:p>
            <w:r>
              <w:t>Message Protocol Version</w:t>
            </w:r>
          </w:p>
        </w:tc>
        <w:tc>
          <w:tcPr>
            <w:tcW w:type="dxa" w:w="4320"/>
          </w:tcPr>
          <w:p>
            <w:r>
              <w:t>1.26.0</w:t>
            </w:r>
          </w:p>
        </w:tc>
      </w:tr>
      <w:tr>
        <w:tc>
          <w:tcPr>
            <w:tcW w:type="dxa" w:w="4320"/>
          </w:tcPr>
          <w:p>
            <w:r>
              <w:t>Provider Relative Url</w:t>
            </w:r>
          </w:p>
        </w:tc>
        <w:tc>
          <w:tcPr>
            <w:tcW w:type="dxa" w:w="4320"/>
          </w:tcPr>
          <w:p>
            <w:r/>
          </w:p>
        </w:tc>
      </w:tr>
    </w:tbl>
    <w:p>
      <w:pPr>
        <w:pStyle w:val="Heading2"/>
      </w:pPr>
      <w:r>
        <w:t>5.5. Mappings</w:t>
      </w:r>
    </w:p>
    <w:p>
      <w:r>
        <w:rPr>
          <w:b w:val="0"/>
          <w:i w:val="0"/>
          <w:sz w:val="24"/>
        </w:rPr>
        <w:t>The provided XML defines the Mappings section of an SAP iFlow, which is currently empty. This indicates that there are no data transformations or value mappings configured within this iFlow at this point.  No fields are being mapped from source to target. Essentially, data passes through this step without modification based on the given configuration. The absence of mapping configurations means the iFlow relies on other steps for any data processing.</w:t>
        <w:br/>
      </w:r>
    </w:p>
    <w:p>
      <w:r>
        <w:rPr>
          <w:b w:val="0"/>
          <w:i w:val="0"/>
          <w:sz w:val="24"/>
        </w:rPr>
        <w:t>No mapping activities found in the iFlow.</w:t>
      </w:r>
    </w:p>
    <w:p>
      <w:pPr>
        <w:pStyle w:val="Heading2"/>
      </w:pPr>
      <w:r>
        <w:t>5.6. Security</w:t>
      </w:r>
    </w:p>
    <w:p>
      <w:r>
        <w:rPr>
          <w:b w:val="0"/>
          <w:i w:val="0"/>
          <w:sz w:val="24"/>
        </w:rPr>
        <w:t>The iFlow's security configuration disables CORS (Cross-Origin Resource Sharing), HTTP session handling, and basic authentication for the Sender. Return exceptions to the sender is set to false. It uses default proxy settings with TLS session reuse enabled. CSRF protection is enabled for the OData receiver adapter which is using anonymous Authentication and is set to receiver data from an endpoint that enables batch processing and enableMPLAttachments is set to true. All events are logged for auditing purposes.</w:t>
        <w:br/>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Namespace Mapping</w:t>
            </w:r>
          </w:p>
        </w:tc>
        <w:tc>
          <w:tcPr>
            <w:tcW w:type="dxa" w:w="4320"/>
          </w:tcPr>
          <w:p>
            <w:r/>
          </w:p>
        </w:tc>
      </w:tr>
      <w:tr>
        <w:tc>
          <w:tcPr>
            <w:tcW w:type="dxa" w:w="4320"/>
          </w:tcPr>
          <w:p>
            <w:r>
              <w:t>Http Session Handling</w:t>
            </w:r>
          </w:p>
        </w:tc>
        <w:tc>
          <w:tcPr>
            <w:tcW w:type="dxa" w:w="4320"/>
          </w:tcPr>
          <w:p>
            <w:r>
              <w:t>None</w:t>
            </w:r>
          </w:p>
        </w:tc>
      </w:tr>
      <w:tr>
        <w:tc>
          <w:tcPr>
            <w:tcW w:type="dxa" w:w="4320"/>
          </w:tcPr>
          <w:p>
            <w:r>
              <w:t>Access Control Max Age</w:t>
            </w:r>
          </w:p>
        </w:tc>
        <w:tc>
          <w:tcPr>
            <w:tcW w:type="dxa" w:w="4320"/>
          </w:tcPr>
          <w:p>
            <w:r/>
          </w:p>
        </w:tc>
      </w:tr>
      <w:tr>
        <w:tc>
          <w:tcPr>
            <w:tcW w:type="dxa" w:w="4320"/>
          </w:tcPr>
          <w:p>
            <w:r>
              <w:t>Return Exception To Sender</w:t>
            </w:r>
          </w:p>
        </w:tc>
        <w:tc>
          <w:tcPr>
            <w:tcW w:type="dxa" w:w="4320"/>
          </w:tcPr>
          <w:p>
            <w:r>
              <w:t>false</w:t>
            </w:r>
          </w:p>
        </w:tc>
      </w:tr>
      <w:tr>
        <w:tc>
          <w:tcPr>
            <w:tcW w:type="dxa" w:w="4320"/>
          </w:tcPr>
          <w:p>
            <w:r>
              <w:t>Log</w:t>
            </w:r>
          </w:p>
        </w:tc>
        <w:tc>
          <w:tcPr>
            <w:tcW w:type="dxa" w:w="4320"/>
          </w:tcPr>
          <w:p>
            <w:r>
              <w:t>All events</w:t>
            </w:r>
          </w:p>
        </w:tc>
      </w:tr>
      <w:tr>
        <w:tc>
          <w:tcPr>
            <w:tcW w:type="dxa" w:w="4320"/>
          </w:tcPr>
          <w:p>
            <w:r>
              <w:t>Cors Enabled</w:t>
            </w:r>
          </w:p>
        </w:tc>
        <w:tc>
          <w:tcPr>
            <w:tcW w:type="dxa" w:w="4320"/>
          </w:tcPr>
          <w:p>
            <w:r>
              <w:t>false</w:t>
            </w:r>
          </w:p>
        </w:tc>
      </w:tr>
      <w:tr>
        <w:tc>
          <w:tcPr>
            <w:tcW w:type="dxa" w:w="4320"/>
          </w:tcPr>
          <w:p>
            <w:r>
              <w:t>Exposed Headers</w:t>
            </w:r>
          </w:p>
        </w:tc>
        <w:tc>
          <w:tcPr>
            <w:tcW w:type="dxa" w:w="4320"/>
          </w:tcPr>
          <w:p>
            <w:r/>
          </w:p>
        </w:tc>
      </w:tr>
      <w:tr>
        <w:tc>
          <w:tcPr>
            <w:tcW w:type="dxa" w:w="4320"/>
          </w:tcPr>
          <w:p>
            <w:r>
              <w:t>Component Version</w:t>
            </w:r>
          </w:p>
        </w:tc>
        <w:tc>
          <w:tcPr>
            <w:tcW w:type="dxa" w:w="4320"/>
          </w:tcPr>
          <w:p>
            <w:r>
              <w:t>1.2</w:t>
            </w:r>
          </w:p>
        </w:tc>
      </w:tr>
      <w:tr>
        <w:tc>
          <w:tcPr>
            <w:tcW w:type="dxa" w:w="4320"/>
          </w:tcPr>
          <w:p>
            <w:r>
              <w:t>Allowed Header List</w:t>
            </w:r>
          </w:p>
        </w:tc>
        <w:tc>
          <w:tcPr>
            <w:tcW w:type="dxa" w:w="4320"/>
          </w:tcPr>
          <w:p>
            <w:r/>
          </w:p>
        </w:tc>
      </w:tr>
      <w:tr>
        <w:tc>
          <w:tcPr>
            <w:tcW w:type="dxa" w:w="4320"/>
          </w:tcPr>
          <w:p>
            <w:r>
              <w:t>Server Trace</w:t>
            </w:r>
          </w:p>
        </w:tc>
        <w:tc>
          <w:tcPr>
            <w:tcW w:type="dxa" w:w="4320"/>
          </w:tcPr>
          <w:p>
            <w:r>
              <w:t>false</w:t>
            </w:r>
          </w:p>
        </w:tc>
      </w:tr>
      <w:tr>
        <w:tc>
          <w:tcPr>
            <w:tcW w:type="dxa" w:w="4320"/>
          </w:tcPr>
          <w:p>
            <w:r>
              <w:t>Allowed Origins</w:t>
            </w:r>
          </w:p>
        </w:tc>
        <w:tc>
          <w:tcPr>
            <w:tcW w:type="dxa" w:w="4320"/>
          </w:tcPr>
          <w:p>
            <w:r/>
          </w:p>
        </w:tc>
      </w:tr>
      <w:tr>
        <w:tc>
          <w:tcPr>
            <w:tcW w:type="dxa" w:w="4320"/>
          </w:tcPr>
          <w:p>
            <w:r>
              <w:t>Access Control Allow Credentials</w:t>
            </w:r>
          </w:p>
        </w:tc>
        <w:tc>
          <w:tcPr>
            <w:tcW w:type="dxa" w:w="4320"/>
          </w:tcPr>
          <w:p>
            <w:r>
              <w:t>false</w:t>
            </w:r>
          </w:p>
        </w:tc>
      </w:tr>
      <w:tr>
        <w:tc>
          <w:tcPr>
            <w:tcW w:type="dxa" w:w="4320"/>
          </w:tcPr>
          <w:p>
            <w:r>
              <w:t>Allowed Headers</w:t>
            </w:r>
          </w:p>
        </w:tc>
        <w:tc>
          <w:tcPr>
            <w:tcW w:type="dxa" w:w="4320"/>
          </w:tcPr>
          <w:p>
            <w:r/>
          </w:p>
        </w:tc>
      </w:tr>
      <w:tr>
        <w:tc>
          <w:tcPr>
            <w:tcW w:type="dxa" w:w="4320"/>
          </w:tcPr>
          <w:p>
            <w:r>
              <w:t>Allowed Methods</w:t>
            </w:r>
          </w:p>
        </w:tc>
        <w:tc>
          <w:tcPr>
            <w:tcW w:type="dxa" w:w="4320"/>
          </w:tcPr>
          <w:p>
            <w:r/>
          </w:p>
        </w:tc>
      </w:tr>
      <w:tr>
        <w:tc>
          <w:tcPr>
            <w:tcW w:type="dxa" w:w="4320"/>
          </w:tcPr>
          <w:p>
            <w:r>
              <w:t>Cmd Variant Uri</w:t>
            </w:r>
          </w:p>
        </w:tc>
        <w:tc>
          <w:tcPr>
            <w:tcW w:type="dxa" w:w="4320"/>
          </w:tcPr>
          <w:p>
            <w:r>
              <w:t>ctype::IFlowVariant/cname::IFlowConfiguration/version::1.2.4</w:t>
            </w:r>
          </w:p>
        </w:tc>
      </w:tr>
    </w:tbl>
    <w:p>
      <w:pPr>
        <w:pStyle w:val="Heading2"/>
      </w:pPr>
      <w:r>
        <w:t>5.7. Groovy Scripts</w:t>
      </w:r>
    </w:p>
    <w:p>
      <w:r>
        <w:rPr>
          <w:b w:val="0"/>
          <w:i w:val="0"/>
          <w:sz w:val="24"/>
        </w:rPr>
        <w:t>This XML describes the structure of an SAP Cloud Integration iFlow named "Get_Data_SV," which uses a timer-based start event. The iFlow orchestrates a sequence of steps: an external call via a "Request Reply" service task, followed by a "Filter" call activity that filters data based on the `/Customers/Customer/CompanyName` XPath. The filtered data is then passed to a "Content Modifier" call activity, before the iflow ends. The XML doesn't show any explicit Groovy scripts. Therefore, Groovy scripts are not directly defined within the XML code provided.</w:t>
        <w:br/>
      </w:r>
    </w:p>
    <w:p>
      <w:r>
        <w:rPr>
          <w:b w:val="0"/>
          <w:i w:val="0"/>
          <w:sz w:val="24"/>
        </w:rPr>
        <w:t>No Groovy scripts found in the specified folder.</w:t>
      </w:r>
    </w:p>
    <w:p>
      <w:pPr>
        <w:pStyle w:val="Heading2"/>
      </w:pPr>
      <w:r>
        <w:t>5.8. Error Handling &amp; Logging</w:t>
      </w:r>
    </w:p>
    <w:p>
      <w:r>
        <w:rPr>
          <w:b w:val="0"/>
          <w:i w:val="0"/>
          <w:sz w:val="24"/>
        </w:rPr>
        <w:t>The iFlow's error handling and logging, based on the provided XML snippet, currently lacks defined exception handling mechanisms. The `&lt;Exceptions&gt;` tag being empty indicates that no specific custom error processing or escalation strategies are configured within the iFlow. Consequently, the iFlow will rely on the default SAP integration suite error handling behavior, potentially resulting in generic error messages and limited insights into failure causes. No custom logging is explicitly implemented, meaning only standard platform logs will be available for troubleshooting. To improve reliability and maintainability, consider implementing custom exception handling and logging strategies within the `&lt;Exceptions&gt;` element.</w:t>
        <w:br/>
      </w:r>
    </w:p>
    <w:p>
      <w:r>
        <w:rPr>
          <w:b w:val="0"/>
          <w:i w:val="0"/>
          <w:sz w:val="24"/>
        </w:rPr>
        <w:t>No exception subprocesses found in the iFlow.</w:t>
      </w:r>
    </w:p>
    <w:p>
      <w:pPr>
        <w:pStyle w:val="Heading1"/>
      </w:pPr>
      <w:r>
        <w:t>6. Version and Metadata</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componentVersion</w:t>
            </w:r>
          </w:p>
        </w:tc>
        <w:tc>
          <w:tcPr>
            <w:tcW w:type="dxa" w:w="4320"/>
          </w:tcPr>
          <w:p>
            <w:r>
              <w:t>1.4</w:t>
            </w:r>
          </w:p>
        </w:tc>
      </w:tr>
      <w:tr>
        <w:tc>
          <w:tcPr>
            <w:tcW w:type="dxa" w:w="4320"/>
          </w:tcPr>
          <w:p>
            <w:r>
              <w:t>ComponentNS</w:t>
            </w:r>
          </w:p>
        </w:tc>
        <w:tc>
          <w:tcPr>
            <w:tcW w:type="dxa" w:w="4320"/>
          </w:tcPr>
          <w:p>
            <w:r>
              <w:t>sap</w:t>
            </w:r>
          </w:p>
        </w:tc>
      </w:tr>
      <w:tr>
        <w:tc>
          <w:tcPr>
            <w:tcW w:type="dxa" w:w="4320"/>
          </w:tcPr>
          <w:p>
            <w:r>
              <w:t>ComponentSWCVName</w:t>
            </w:r>
          </w:p>
        </w:tc>
        <w:tc>
          <w:tcPr>
            <w:tcW w:type="dxa" w:w="4320"/>
          </w:tcPr>
          <w:p>
            <w:r>
              <w:t>external</w:t>
            </w:r>
          </w:p>
        </w:tc>
      </w:tr>
      <w:tr>
        <w:tc>
          <w:tcPr>
            <w:tcW w:type="dxa" w:w="4320"/>
          </w:tcPr>
          <w:p>
            <w:r>
              <w:t>ComponentSWCVId</w:t>
            </w:r>
          </w:p>
        </w:tc>
        <w:tc>
          <w:tcPr>
            <w:tcW w:type="dxa" w:w="4320"/>
          </w:tcPr>
          <w:p>
            <w:r>
              <w:t>1.26.0</w:t>
            </w:r>
          </w:p>
        </w:tc>
      </w:tr>
    </w:tbl>
    <w:p>
      <w:r>
        <w:rPr>
          <w:b w:val="0"/>
          <w:i w:val="0"/>
          <w:sz w:val="24"/>
        </w:rPr>
        <w:t>This SAP iFlow has a component version of 1.4 and belongs to the 'sap' namespace. The software component (SWC) name is 'external' with an ID of 1.26.0. This iFlow leverages the 'external' software component at version 1.26.0, indicating its dependencies on pre-defined functionalities. The overall metadata suggests the iFlow is built upon a versioned and standardized SAP integration framework. Essentially, the iFlow has been constructed using the version 1.26 of a SWC named 'external' provided by SAP at the 1.4 version of the component framework.</w:t>
        <w:br/>
      </w:r>
    </w:p>
    <w:p>
      <w:pPr>
        <w:pStyle w:val="Heading1"/>
      </w:pPr>
      <w:r>
        <w:t>7. Appendix</w:t>
      </w:r>
    </w:p>
    <w:p>
      <w:r>
        <w:rPr>
          <w:b w:val="0"/>
          <w:i w:val="0"/>
          <w:sz w:val="24"/>
        </w:rPr>
        <w:t>The iFlow named "Integration Process" contains a timer-triggered process initiated by "Start Timer 1". It utilizes a "Request Reply 1" step (External Call), a "Filter 1" step that filters based on the XPath `/Customers/Customer/CompanyName`, and a "Content Modifier 1" step (Enricher).  The flow begins with a "Start Timer 1" event, proceeds through "Request Reply 1" to retrieve data, filters this data using "Filter 1", and finally enriches the data with "Content Modifier 1" before terminating at the "End" event. The iFlow defines a timer event "TimerEventDefinition_241781" that triggers the flow. No mappings or scripts are explicitly referenced.</w:t>
        <w:br/>
      </w:r>
    </w:p>
    <w:p>
      <w:r>
        <w:rPr>
          <w:b w:val="0"/>
          <w:i w:val="0"/>
          <w:sz w:val="24"/>
        </w:rPr>
        <w:t>No additional appendix info found in XML.</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Author: Generated by AI | Version: 1.0 | Date: 2025-10-19 </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 xml:space="preserve">Technical Specification: iFlow - Get_Data_SV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