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Get_Data_SV</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2025-10-24</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2025-10-24</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provides a comprehensive overview of the Get_Data_SV iFlow's configuration. It serves as a central repository for key properties and parameters, including namespace mappings, HTTP session handling, logging behavior, and CORS settings. The document details the iFlow's participants (Sender, Receiver, Integration Process) and their respective types. Furthermore, it outlines the configurations of message flows, particularly the OData receiver adapter, including address, authentication method, and query parameters. This documentation aids in understanding the iFlow's design, facilitating troubleshooting, and ensuring consistent deployment and operation.</w:t>
        <w:br/>
      </w:r>
    </w:p>
    <w:p>
      <w:pPr>
        <w:pStyle w:val="Heading1"/>
      </w:pPr>
      <w:r>
        <w:t>3. High level iFlow Design</w:t>
      </w:r>
    </w:p>
    <w:p>
      <w:r>
        <w:rPr>
          <w:b w:val="0"/>
          <w:i w:val="0"/>
          <w:sz w:val="24"/>
        </w:rP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Request Reply 1</w:t>
            </w:r>
          </w:p>
        </w:tc>
        <w:tc>
          <w:tcPr>
            <w:tcW w:type="dxa" w:w="2880"/>
          </w:tcPr>
          <w:p>
            <w:r>
              <w:t>Receiver</w:t>
            </w:r>
          </w:p>
        </w:tc>
        <w:tc>
          <w:tcPr>
            <w:tcW w:type="dxa" w:w="2880"/>
          </w:tcPr>
          <w:p>
            <w:r>
              <w:t>OData</w:t>
            </w:r>
          </w:p>
        </w:tc>
      </w:tr>
    </w:tbl>
    <w:p>
      <w:pPr>
        <w:pStyle w:val="Heading1"/>
      </w:pPr>
      <w:r>
        <w:t>5. Technical Description</w:t>
      </w:r>
    </w:p>
    <w:p>
      <w:pPr>
        <w:pStyle w:val="Heading2"/>
      </w:pPr>
      <w:r>
        <w:t xml:space="preserve">5.1. Main Integration Process </w:t>
      </w:r>
    </w:p>
    <w:p>
      <w:r>
        <w:rPr>
          <w:b w:val="0"/>
          <w:i w:val="0"/>
          <w:sz w:val="24"/>
        </w:rP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callActivity Filter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Xpath Type</w:t>
            </w:r>
          </w:p>
        </w:tc>
        <w:tc>
          <w:tcPr>
            <w:tcW w:type="dxa" w:w="4320"/>
          </w:tcPr>
          <w:p>
            <w:r>
              <w:t>String</w:t>
            </w:r>
          </w:p>
        </w:tc>
      </w:tr>
      <w:tr>
        <w:tc>
          <w:tcPr>
            <w:tcW w:type="dxa" w:w="4320"/>
          </w:tcPr>
          <w:p>
            <w:r>
              <w:t>Wrap Content</w:t>
            </w:r>
          </w:p>
        </w:tc>
        <w:tc>
          <w:tcPr>
            <w:tcW w:type="dxa" w:w="4320"/>
          </w:tcPr>
          <w:p>
            <w:r>
              <w:t>/Customers/Customer/CompanyName</w:t>
            </w:r>
          </w:p>
        </w:tc>
      </w:tr>
      <w:tr>
        <w:tc>
          <w:tcPr>
            <w:tcW w:type="dxa" w:w="4320"/>
          </w:tcPr>
          <w:p>
            <w:r>
              <w:t>Component Version</w:t>
            </w:r>
          </w:p>
        </w:tc>
        <w:tc>
          <w:tcPr>
            <w:tcW w:type="dxa" w:w="4320"/>
          </w:tcPr>
          <w:p>
            <w:r>
              <w:t>1.1</w:t>
            </w:r>
          </w:p>
        </w:tc>
      </w:tr>
      <w:tr>
        <w:tc>
          <w:tcPr>
            <w:tcW w:type="dxa" w:w="4320"/>
          </w:tcPr>
          <w:p>
            <w:r>
              <w:t>Activity Type</w:t>
            </w:r>
          </w:p>
        </w:tc>
        <w:tc>
          <w:tcPr>
            <w:tcW w:type="dxa" w:w="4320"/>
          </w:tcPr>
          <w:p>
            <w:r>
              <w:t>Filter</w:t>
            </w:r>
          </w:p>
        </w:tc>
      </w:tr>
      <w:tr>
        <w:tc>
          <w:tcPr>
            <w:tcW w:type="dxa" w:w="4320"/>
          </w:tcPr>
          <w:p>
            <w:r>
              <w:t>Cmd Variant Uri</w:t>
            </w:r>
          </w:p>
        </w:tc>
        <w:tc>
          <w:tcPr>
            <w:tcW w:type="dxa" w:w="4320"/>
          </w:tcPr>
          <w:p>
            <w:r>
              <w:t>ctype::FlowstepVariant/cname::Filter/version::1.1.0</w:t>
            </w:r>
          </w:p>
        </w:tc>
      </w:tr>
    </w:tbl>
    <w:p>
      <w:pPr>
        <w:pStyle w:val="Heading3"/>
      </w:pPr>
      <w:r>
        <w:t>serviceTask Request Reply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1.0</w:t>
            </w:r>
          </w:p>
        </w:tc>
      </w:tr>
      <w:tr>
        <w:tc>
          <w:tcPr>
            <w:tcW w:type="dxa" w:w="4320"/>
          </w:tcPr>
          <w:p>
            <w:r>
              <w:t>Activity Type</w:t>
            </w:r>
          </w:p>
        </w:tc>
        <w:tc>
          <w:tcPr>
            <w:tcW w:type="dxa" w:w="4320"/>
          </w:tcPr>
          <w:p>
            <w:r>
              <w:t>ExternalCall</w:t>
            </w:r>
          </w:p>
        </w:tc>
      </w:tr>
      <w:tr>
        <w:tc>
          <w:tcPr>
            <w:tcW w:type="dxa" w:w="4320"/>
          </w:tcPr>
          <w:p>
            <w:r>
              <w:t>Cmd Variant Uri</w:t>
            </w:r>
          </w:p>
        </w:tc>
        <w:tc>
          <w:tcPr>
            <w:tcW w:type="dxa" w:w="4320"/>
          </w:tcPr>
          <w:p>
            <w:r>
              <w:t>ctype::FlowstepVariant/cname::ExternalCall/version::1.0.4</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Content Modifier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p>
        </w:tc>
      </w:tr>
      <w:tr>
        <w:tc>
          <w:tcPr>
            <w:tcW w:type="dxa" w:w="4320"/>
          </w:tcPr>
          <w:p>
            <w:r>
              <w:t>Wrap Content</w:t>
            </w:r>
          </w:p>
        </w:tc>
        <w:tc>
          <w:tcPr>
            <w:tcW w:type="dxa" w:w="4320"/>
          </w:tcPr>
          <w:p>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ctype::FlowstepVariant/cname::Enricher/version::1.6.1</w:t>
            </w:r>
          </w:p>
        </w:tc>
      </w:tr>
    </w:tbl>
    <w:p>
      <w:pPr>
        <w:pStyle w:val="Heading2"/>
      </w:pPr>
      <w:r>
        <w:t xml:space="preserve">5.2. Local Integration Process </w:t>
      </w:r>
    </w:p>
    <w:p>
      <w:r>
        <w:rPr>
          <w:b w:val="0"/>
          <w:i w:val="0"/>
          <w:sz w:val="24"/>
        </w:rPr>
      </w:r>
    </w:p>
    <w:p>
      <w:r>
        <w:rPr>
          <w:b w:val="0"/>
          <w:i w:val="0"/>
          <w:sz w:val="24"/>
        </w:rPr>
        <w:t>No process with id='Process_1' found.</w:t>
      </w:r>
    </w:p>
    <w:p>
      <w:pPr>
        <w:pStyle w:val="Heading2"/>
      </w:pPr>
      <w:r>
        <w:t>5.3. Sender</w:t>
      </w:r>
    </w:p>
    <w:p>
      <w:r>
        <w:rPr>
          <w:b w:val="0"/>
          <w:i w:val="0"/>
          <w:sz w:val="24"/>
        </w:rPr>
      </w:r>
    </w:p>
    <w:p>
      <w:pPr>
        <w:pStyle w:val="Heading2"/>
      </w:pPr>
      <w:r>
        <w:t>5.4. Receiver</w:t>
      </w:r>
    </w:p>
    <w:p>
      <w:r>
        <w:rPr>
          <w:b w:val="0"/>
          <w:i w:val="0"/>
          <w:sz w:val="24"/>
        </w:rP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Description</w:t>
            </w:r>
          </w:p>
        </w:tc>
        <w:tc>
          <w:tcPr>
            <w:tcW w:type="dxa" w:w="4320"/>
          </w:tcPr>
          <w:p>
            <w:r/>
          </w:p>
        </w:tc>
      </w:tr>
      <w:tr>
        <w:tc>
          <w:tcPr>
            <w:tcW w:type="dxa" w:w="4320"/>
          </w:tcPr>
          <w:p>
            <w:r>
              <w:t>Pagination</w:t>
            </w:r>
          </w:p>
        </w:tc>
        <w:tc>
          <w:tcPr>
            <w:tcW w:type="dxa" w:w="4320"/>
          </w:tcPr>
          <w:p>
            <w:r>
              <w:t>0</w:t>
            </w:r>
          </w:p>
        </w:tc>
      </w:tr>
      <w:tr>
        <w:tc>
          <w:tcPr>
            <w:tcW w:type="dxa" w:w="4320"/>
          </w:tcPr>
          <w:p>
            <w:r>
              <w:t>Odata Cert Auth Private Key Alias</w:t>
            </w:r>
          </w:p>
        </w:tc>
        <w:tc>
          <w:tcPr>
            <w:tcW w:type="dxa" w:w="4320"/>
          </w:tcPr>
          <w:p>
            <w:r/>
          </w:p>
        </w:tc>
      </w:tr>
      <w:tr>
        <w:tc>
          <w:tcPr>
            <w:tcW w:type="dxa" w:w="4320"/>
          </w:tcPr>
          <w:p>
            <w:r>
              <w:t>Api Artifact Type</w:t>
            </w:r>
          </w:p>
        </w:tc>
        <w:tc>
          <w:tcPr>
            <w:tcW w:type="dxa" w:w="4320"/>
          </w:tcPr>
          <w:p>
            <w:r/>
          </w:p>
        </w:tc>
      </w:tr>
      <w:tr>
        <w:tc>
          <w:tcPr>
            <w:tcW w:type="dxa" w:w="4320"/>
          </w:tcPr>
          <w:p>
            <w:r>
              <w:t>Provider Auth</w:t>
            </w:r>
          </w:p>
        </w:tc>
        <w:tc>
          <w:tcPr>
            <w:tcW w:type="dxa" w:w="4320"/>
          </w:tcPr>
          <w:p>
            <w:r/>
          </w:p>
        </w:tc>
      </w:tr>
      <w:tr>
        <w:tc>
          <w:tcPr>
            <w:tcW w:type="dxa" w:w="4320"/>
          </w:tcPr>
          <w:p>
            <w:r>
              <w:t>Component N S</w:t>
            </w:r>
          </w:p>
        </w:tc>
        <w:tc>
          <w:tcPr>
            <w:tcW w:type="dxa" w:w="4320"/>
          </w:tcPr>
          <w:p>
            <w:r>
              <w:t>sap</w:t>
            </w:r>
          </w:p>
        </w:tc>
      </w:tr>
      <w:tr>
        <w:tc>
          <w:tcPr>
            <w:tcW w:type="dxa" w:w="4320"/>
          </w:tcPr>
          <w:p>
            <w:r>
              <w:t>Resource Path</w:t>
            </w:r>
          </w:p>
        </w:tc>
        <w:tc>
          <w:tcPr>
            <w:tcW w:type="dxa" w:w="4320"/>
          </w:tcPr>
          <w:p>
            <w:r>
              <w:t>Customers</w:t>
            </w:r>
          </w:p>
        </w:tc>
      </w:tr>
      <w:tr>
        <w:tc>
          <w:tcPr>
            <w:tcW w:type="dxa" w:w="4320"/>
          </w:tcPr>
          <w:p>
            <w:r>
              <w:t>Custom Query Options</w:t>
            </w:r>
          </w:p>
        </w:tc>
        <w:tc>
          <w:tcPr>
            <w:tcW w:type="dxa" w:w="4320"/>
          </w:tcPr>
          <w:p>
            <w:r/>
          </w:p>
        </w:tc>
      </w:tr>
      <w:tr>
        <w:tc>
          <w:tcPr>
            <w:tcW w:type="dxa" w:w="4320"/>
          </w:tcPr>
          <w:p>
            <w:r>
              <w:t>Metadata Allowed U R I Params</w:t>
            </w:r>
          </w:p>
        </w:tc>
        <w:tc>
          <w:tcPr>
            <w:tcW w:type="dxa" w:w="4320"/>
          </w:tcPr>
          <w:p>
            <w:r/>
          </w:p>
        </w:tc>
      </w:tr>
      <w:tr>
        <w:tc>
          <w:tcPr>
            <w:tcW w:type="dxa" w:w="4320"/>
          </w:tcPr>
          <w:p>
            <w:r>
              <w:t>Name</w:t>
            </w:r>
          </w:p>
        </w:tc>
        <w:tc>
          <w:tcPr>
            <w:tcW w:type="dxa" w:w="4320"/>
          </w:tcPr>
          <w:p>
            <w:r>
              <w:t>OData</w:t>
            </w:r>
          </w:p>
        </w:tc>
      </w:tr>
      <w:tr>
        <w:tc>
          <w:tcPr>
            <w:tcW w:type="dxa" w:w="4320"/>
          </w:tcPr>
          <w:p>
            <w:r>
              <w:t>Internet Proxy Type</w:t>
            </w:r>
          </w:p>
        </w:tc>
        <w:tc>
          <w:tcPr>
            <w:tcW w:type="dxa" w:w="4320"/>
          </w:tcPr>
          <w:p>
            <w:r/>
          </w:p>
        </w:tc>
      </w:tr>
      <w:tr>
        <w:tc>
          <w:tcPr>
            <w:tcW w:type="dxa" w:w="4320"/>
          </w:tcPr>
          <w:p>
            <w:r>
              <w:t>Transport Protocol Version</w:t>
            </w:r>
          </w:p>
        </w:tc>
        <w:tc>
          <w:tcPr>
            <w:tcW w:type="dxa" w:w="4320"/>
          </w:tcPr>
          <w:p>
            <w:r>
              <w:t>1.26.0</w:t>
            </w:r>
          </w:p>
        </w:tc>
      </w:tr>
      <w:tr>
        <w:tc>
          <w:tcPr>
            <w:tcW w:type="dxa" w:w="4320"/>
          </w:tcPr>
          <w:p>
            <w:r>
              <w:t>Proxy Port</w:t>
            </w:r>
          </w:p>
        </w:tc>
        <w:tc>
          <w:tcPr>
            <w:tcW w:type="dxa" w:w="4320"/>
          </w:tcPr>
          <w:p>
            <w:r/>
          </w:p>
        </w:tc>
      </w:tr>
      <w:tr>
        <w:tc>
          <w:tcPr>
            <w:tcW w:type="dxa" w:w="4320"/>
          </w:tcPr>
          <w:p>
            <w:r>
              <w:t>Component S W C V Name</w:t>
            </w:r>
          </w:p>
        </w:tc>
        <w:tc>
          <w:tcPr>
            <w:tcW w:type="dxa" w:w="4320"/>
          </w:tcPr>
          <w:p>
            <w:r>
              <w:t>external</w:t>
            </w:r>
          </w:p>
        </w:tc>
      </w:tr>
      <w:tr>
        <w:tc>
          <w:tcPr>
            <w:tcW w:type="dxa" w:w="4320"/>
          </w:tcPr>
          <w:p>
            <w:r>
              <w:t>Enable M P L Attachments</w:t>
            </w:r>
          </w:p>
        </w:tc>
        <w:tc>
          <w:tcPr>
            <w:tcW w:type="dxa" w:w="4320"/>
          </w:tcPr>
          <w:p>
            <w:r>
              <w:t>true</w:t>
            </w:r>
          </w:p>
        </w:tc>
      </w:tr>
      <w:tr>
        <w:tc>
          <w:tcPr>
            <w:tcW w:type="dxa" w:w="4320"/>
          </w:tcPr>
          <w:p>
            <w:r>
              <w:t>Receive Time Out</w:t>
            </w:r>
          </w:p>
        </w:tc>
        <w:tc>
          <w:tcPr>
            <w:tcW w:type="dxa" w:w="4320"/>
          </w:tcPr>
          <w:p>
            <w:r>
              <w:t>1</w:t>
            </w:r>
          </w:p>
        </w:tc>
      </w:tr>
      <w:tr>
        <w:tc>
          <w:tcPr>
            <w:tcW w:type="dxa" w:w="4320"/>
          </w:tcPr>
          <w:p>
            <w:r>
              <w:t>Alias</w:t>
            </w:r>
          </w:p>
        </w:tc>
        <w:tc>
          <w:tcPr>
            <w:tcW w:type="dxa" w:w="4320"/>
          </w:tcPr>
          <w:p>
            <w:r/>
          </w:p>
        </w:tc>
      </w:tr>
      <w:tr>
        <w:tc>
          <w:tcPr>
            <w:tcW w:type="dxa" w:w="4320"/>
          </w:tcPr>
          <w:p>
            <w:r>
              <w:t>Content Type</w:t>
            </w:r>
          </w:p>
        </w:tc>
        <w:tc>
          <w:tcPr>
            <w:tcW w:type="dxa" w:w="4320"/>
          </w:tcPr>
          <w:p>
            <w:r>
              <w:t>application/atom+xml</w:t>
            </w:r>
          </w:p>
        </w:tc>
      </w:tr>
      <w:tr>
        <w:tc>
          <w:tcPr>
            <w:tcW w:type="dxa" w:w="4320"/>
          </w:tcPr>
          <w:p>
            <w:r>
              <w:t>Component S W C V Id</w:t>
            </w:r>
          </w:p>
        </w:tc>
        <w:tc>
          <w:tcPr>
            <w:tcW w:type="dxa" w:w="4320"/>
          </w:tcPr>
          <w:p>
            <w:r>
              <w:t>1.26.0</w:t>
            </w:r>
          </w:p>
        </w:tc>
      </w:tr>
      <w:tr>
        <w:tc>
          <w:tcPr>
            <w:tcW w:type="dxa" w:w="4320"/>
          </w:tcPr>
          <w:p>
            <w:r>
              <w:t>Provider Name</w:t>
            </w:r>
          </w:p>
        </w:tc>
        <w:tc>
          <w:tcPr>
            <w:tcW w:type="dxa" w:w="4320"/>
          </w:tcPr>
          <w:p>
            <w:r/>
          </w:p>
        </w:tc>
      </w:tr>
      <w:tr>
        <w:tc>
          <w:tcPr>
            <w:tcW w:type="dxa" w:w="4320"/>
          </w:tcPr>
          <w:p>
            <w:r>
              <w:t>Message Protocol</w:t>
            </w:r>
          </w:p>
        </w:tc>
        <w:tc>
          <w:tcPr>
            <w:tcW w:type="dxa" w:w="4320"/>
          </w:tcPr>
          <w:p>
            <w:r>
              <w:t>OData V2</w:t>
            </w:r>
          </w:p>
        </w:tc>
      </w:tr>
      <w:tr>
        <w:tc>
          <w:tcPr>
            <w:tcW w:type="dxa" w:w="4320"/>
          </w:tcPr>
          <w:p>
            <w:r>
              <w:t>Direction</w:t>
            </w:r>
          </w:p>
        </w:tc>
        <w:tc>
          <w:tcPr>
            <w:tcW w:type="dxa" w:w="4320"/>
          </w:tcPr>
          <w:p>
            <w:r>
              <w:t>Receiver</w:t>
            </w:r>
          </w:p>
        </w:tc>
      </w:tr>
      <w:tr>
        <w:tc>
          <w:tcPr>
            <w:tcW w:type="dxa" w:w="4320"/>
          </w:tcPr>
          <w:p>
            <w:r>
              <w:t>Scc Location Id</w:t>
            </w:r>
          </w:p>
        </w:tc>
        <w:tc>
          <w:tcPr>
            <w:tcW w:type="dxa" w:w="4320"/>
          </w:tcPr>
          <w:p>
            <w:r/>
          </w:p>
        </w:tc>
      </w:tr>
      <w:tr>
        <w:tc>
          <w:tcPr>
            <w:tcW w:type="dxa" w:w="4320"/>
          </w:tcPr>
          <w:p>
            <w:r>
              <w:t>Metadata Allowed Headers</w:t>
            </w:r>
          </w:p>
        </w:tc>
        <w:tc>
          <w:tcPr>
            <w:tcW w:type="dxa" w:w="4320"/>
          </w:tcPr>
          <w:p>
            <w:r/>
          </w:p>
        </w:tc>
      </w:tr>
      <w:tr>
        <w:tc>
          <w:tcPr>
            <w:tcW w:type="dxa" w:w="4320"/>
          </w:tcPr>
          <w:p>
            <w:r>
              <w:t>Component Type</w:t>
            </w:r>
          </w:p>
        </w:tc>
        <w:tc>
          <w:tcPr>
            <w:tcW w:type="dxa" w:w="4320"/>
          </w:tcPr>
          <w:p>
            <w:r>
              <w:t>HCIOData</w:t>
            </w:r>
          </w:p>
        </w:tc>
      </w:tr>
      <w:tr>
        <w:tc>
          <w:tcPr>
            <w:tcW w:type="dxa" w:w="4320"/>
          </w:tcPr>
          <w:p>
            <w:r>
              <w:t>Address</w:t>
            </w:r>
          </w:p>
        </w:tc>
        <w:tc>
          <w:tcPr>
            <w:tcW w:type="dxa" w:w="4320"/>
          </w:tcPr>
          <w:p>
            <w:r>
              <w:t>https://services.odata.org/V2/northwind/northwind.svc</w:t>
            </w:r>
          </w:p>
        </w:tc>
      </w:tr>
      <w:tr>
        <w:tc>
          <w:tcPr>
            <w:tcW w:type="dxa" w:w="4320"/>
          </w:tcPr>
          <w:p>
            <w:r>
              <w:t>Query Options</w:t>
            </w:r>
          </w:p>
        </w:tc>
        <w:tc>
          <w:tcPr>
            <w:tcW w:type="dxa" w:w="4320"/>
          </w:tcPr>
          <w:p>
            <w:r>
              <w:t>$select=CustomerID,CompanyName,ContactName,ContactTitle,Address,City,Region,PostalCode,Country,Phone,Fax</w:t>
            </w:r>
          </w:p>
        </w:tc>
      </w:tr>
      <w:tr>
        <w:tc>
          <w:tcPr>
            <w:tcW w:type="dxa" w:w="4320"/>
          </w:tcPr>
          <w:p>
            <w:r>
              <w:t>Proxy Type</w:t>
            </w:r>
          </w:p>
        </w:tc>
        <w:tc>
          <w:tcPr>
            <w:tcW w:type="dxa" w:w="4320"/>
          </w:tcPr>
          <w:p>
            <w:r>
              <w:t>default</w:t>
            </w:r>
          </w:p>
        </w:tc>
      </w:tr>
      <w:tr>
        <w:tc>
          <w:tcPr>
            <w:tcW w:type="dxa" w:w="4320"/>
          </w:tcPr>
          <w:p>
            <w:r>
              <w:t>Is C S R F Enabled</w:t>
            </w:r>
          </w:p>
        </w:tc>
        <w:tc>
          <w:tcPr>
            <w:tcW w:type="dxa" w:w="4320"/>
          </w:tcPr>
          <w:p>
            <w:r>
              <w:t>true</w:t>
            </w:r>
          </w:p>
        </w:tc>
      </w:tr>
      <w:tr>
        <w:tc>
          <w:tcPr>
            <w:tcW w:type="dxa" w:w="4320"/>
          </w:tcPr>
          <w:p>
            <w:r>
              <w:t>Component Version</w:t>
            </w:r>
          </w:p>
        </w:tc>
        <w:tc>
          <w:tcPr>
            <w:tcW w:type="dxa" w:w="4320"/>
          </w:tcPr>
          <w:p>
            <w:r>
              <w:t>1.26</w:t>
            </w:r>
          </w:p>
        </w:tc>
      </w:tr>
      <w:tr>
        <w:tc>
          <w:tcPr>
            <w:tcW w:type="dxa" w:w="4320"/>
          </w:tcPr>
          <w:p>
            <w:r>
              <w:t>Proxy Host</w:t>
            </w:r>
          </w:p>
        </w:tc>
        <w:tc>
          <w:tcPr>
            <w:tcW w:type="dxa" w:w="4320"/>
          </w:tcPr>
          <w:p>
            <w:r/>
          </w:p>
        </w:tc>
      </w:tr>
      <w:tr>
        <w:tc>
          <w:tcPr>
            <w:tcW w:type="dxa" w:w="4320"/>
          </w:tcPr>
          <w:p>
            <w:r>
              <w:t>Edmx File Path</w:t>
            </w:r>
          </w:p>
        </w:tc>
        <w:tc>
          <w:tcPr>
            <w:tcW w:type="dxa" w:w="4320"/>
          </w:tcPr>
          <w:p>
            <w:r>
              <w:t>edmx/services_odata_org_V2_northwind_northwind_svc.edmx</w:t>
            </w:r>
          </w:p>
        </w:tc>
      </w:tr>
      <w:tr>
        <w:tc>
          <w:tcPr>
            <w:tcW w:type="dxa" w:w="4320"/>
          </w:tcPr>
          <w:p>
            <w:r>
              <w:t>Provider Url</w:t>
            </w:r>
          </w:p>
        </w:tc>
        <w:tc>
          <w:tcPr>
            <w:tcW w:type="dxa" w:w="4320"/>
          </w:tcPr>
          <w:p>
            <w:r/>
          </w:p>
        </w:tc>
      </w:tr>
      <w:tr>
        <w:tc>
          <w:tcPr>
            <w:tcW w:type="dxa" w:w="4320"/>
          </w:tcPr>
          <w:p>
            <w:r>
              <w:t>Enable T L S Session Reuse</w:t>
            </w:r>
          </w:p>
        </w:tc>
        <w:tc>
          <w:tcPr>
            <w:tcW w:type="dxa" w:w="4320"/>
          </w:tcPr>
          <w:p>
            <w:r>
              <w:t>true</w:t>
            </w:r>
          </w:p>
        </w:tc>
      </w:tr>
      <w:tr>
        <w:tc>
          <w:tcPr>
            <w:tcW w:type="dxa" w:w="4320"/>
          </w:tcPr>
          <w:p>
            <w:r>
              <w:t>Odatapagesize</w:t>
            </w:r>
          </w:p>
        </w:tc>
        <w:tc>
          <w:tcPr>
            <w:tcW w:type="dxa" w:w="4320"/>
          </w:tcPr>
          <w:p>
            <w:r/>
          </w:p>
        </w:tc>
      </w:tr>
      <w:tr>
        <w:tc>
          <w:tcPr>
            <w:tcW w:type="dxa" w:w="4320"/>
          </w:tcPr>
          <w:p>
            <w:r>
              <w:t>System</w:t>
            </w:r>
          </w:p>
        </w:tc>
        <w:tc>
          <w:tcPr>
            <w:tcW w:type="dxa" w:w="4320"/>
          </w:tcPr>
          <w:p>
            <w:r>
              <w:t>Receiver</w:t>
            </w:r>
          </w:p>
        </w:tc>
      </w:tr>
      <w:tr>
        <w:tc>
          <w:tcPr>
            <w:tcW w:type="dxa" w:w="4320"/>
          </w:tcPr>
          <w:p>
            <w:r>
              <w:t>Authentication Method</w:t>
            </w:r>
          </w:p>
        </w:tc>
        <w:tc>
          <w:tcPr>
            <w:tcW w:type="dxa" w:w="4320"/>
          </w:tcPr>
          <w:p>
            <w:r>
              <w:t>None</w:t>
            </w:r>
          </w:p>
        </w:tc>
      </w:tr>
      <w:tr>
        <w:tc>
          <w:tcPr>
            <w:tcW w:type="dxa" w:w="4320"/>
          </w:tcPr>
          <w:p>
            <w:r>
              <w:t>Whitelist Response Headers</w:t>
            </w:r>
          </w:p>
        </w:tc>
        <w:tc>
          <w:tcPr>
            <w:tcW w:type="dxa" w:w="4320"/>
          </w:tcPr>
          <w:p>
            <w:r/>
          </w:p>
        </w:tc>
      </w:tr>
      <w:tr>
        <w:tc>
          <w:tcPr>
            <w:tcW w:type="dxa" w:w="4320"/>
          </w:tcPr>
          <w:p>
            <w:r>
              <w:t>Enable Batch Processing</w:t>
            </w:r>
          </w:p>
        </w:tc>
        <w:tc>
          <w:tcPr>
            <w:tcW w:type="dxa" w:w="4320"/>
          </w:tcPr>
          <w:p>
            <w:r>
              <w:t>0</w:t>
            </w:r>
          </w:p>
        </w:tc>
      </w:tr>
      <w:tr>
        <w:tc>
          <w:tcPr>
            <w:tcW w:type="dxa" w:w="4320"/>
          </w:tcPr>
          <w:p>
            <w:r>
              <w:t>Transport Protocol</w:t>
            </w:r>
          </w:p>
        </w:tc>
        <w:tc>
          <w:tcPr>
            <w:tcW w:type="dxa" w:w="4320"/>
          </w:tcPr>
          <w:p>
            <w:r>
              <w:t>HTTP</w:t>
            </w:r>
          </w:p>
        </w:tc>
      </w:tr>
      <w:tr>
        <w:tc>
          <w:tcPr>
            <w:tcW w:type="dxa" w:w="4320"/>
          </w:tcPr>
          <w:p>
            <w:r>
              <w:t>Character Encoding</w:t>
            </w:r>
          </w:p>
        </w:tc>
        <w:tc>
          <w:tcPr>
            <w:tcW w:type="dxa" w:w="4320"/>
          </w:tcPr>
          <w:p>
            <w:r>
              <w:t>none</w:t>
            </w:r>
          </w:p>
        </w:tc>
      </w:tr>
      <w:tr>
        <w:tc>
          <w:tcPr>
            <w:tcW w:type="dxa" w:w="4320"/>
          </w:tcPr>
          <w:p>
            <w:r>
              <w:t>Fields</w:t>
            </w:r>
          </w:p>
        </w:tc>
        <w:tc>
          <w:tcPr>
            <w:tcW w:type="dxa" w:w="4320"/>
          </w:tcPr>
          <w:p>
            <w:r/>
          </w:p>
        </w:tc>
      </w:tr>
      <w:tr>
        <w:tc>
          <w:tcPr>
            <w:tcW w:type="dxa" w:w="4320"/>
          </w:tcPr>
          <w:p>
            <w:r>
              <w:t>Cmd Variant Uri</w:t>
            </w:r>
          </w:p>
        </w:tc>
        <w:tc>
          <w:tcPr>
            <w:tcW w:type="dxa" w:w="4320"/>
          </w:tcPr>
          <w:p>
            <w:r>
              <w:t>ctype::AdapterVariant/cname::sap:HCIOData/tp::HTTP/mp::OData V2/direction::Receiver/version::1.26.0</w:t>
            </w:r>
          </w:p>
        </w:tc>
      </w:tr>
      <w:tr>
        <w:tc>
          <w:tcPr>
            <w:tcW w:type="dxa" w:w="4320"/>
          </w:tcPr>
          <w:p>
            <w:r>
              <w:t>Whitelist Request Headers</w:t>
            </w:r>
          </w:p>
        </w:tc>
        <w:tc>
          <w:tcPr>
            <w:tcW w:type="dxa" w:w="4320"/>
          </w:tcPr>
          <w:p>
            <w:r/>
          </w:p>
        </w:tc>
      </w:tr>
      <w:tr>
        <w:tc>
          <w:tcPr>
            <w:tcW w:type="dxa" w:w="4320"/>
          </w:tcPr>
          <w:p>
            <w:r>
              <w:t>Operation</w:t>
            </w:r>
          </w:p>
        </w:tc>
        <w:tc>
          <w:tcPr>
            <w:tcW w:type="dxa" w:w="4320"/>
          </w:tcPr>
          <w:p>
            <w:r>
              <w:t>Query(GET)</w:t>
            </w:r>
          </w:p>
        </w:tc>
      </w:tr>
      <w:tr>
        <w:tc>
          <w:tcPr>
            <w:tcW w:type="dxa" w:w="4320"/>
          </w:tcPr>
          <w:p>
            <w:r>
              <w:t>Message Protocol Version</w:t>
            </w:r>
          </w:p>
        </w:tc>
        <w:tc>
          <w:tcPr>
            <w:tcW w:type="dxa" w:w="4320"/>
          </w:tcPr>
          <w:p>
            <w:r>
              <w:t>1.26.0</w:t>
            </w:r>
          </w:p>
        </w:tc>
      </w:tr>
      <w:tr>
        <w:tc>
          <w:tcPr>
            <w:tcW w:type="dxa" w:w="4320"/>
          </w:tcPr>
          <w:p>
            <w:r>
              <w:t>Provider Relative Url</w:t>
            </w:r>
          </w:p>
        </w:tc>
        <w:tc>
          <w:tcPr>
            <w:tcW w:type="dxa" w:w="4320"/>
          </w:tcPr>
          <w:p>
            <w:r/>
          </w:p>
        </w:tc>
      </w:tr>
    </w:tbl>
    <w:p>
      <w:pPr>
        <w:pStyle w:val="Heading2"/>
      </w:pPr>
      <w:r>
        <w:t>5.5. Mappings</w:t>
      </w:r>
    </w:p>
    <w:p>
      <w:r>
        <w:rPr>
          <w:b w:val="0"/>
          <w:i w:val="0"/>
          <w:sz w:val="24"/>
        </w:rPr>
      </w:r>
    </w:p>
    <w:p>
      <w:r>
        <w:rPr>
          <w:b w:val="0"/>
          <w:i w:val="0"/>
          <w:sz w:val="24"/>
        </w:rPr>
        <w:t>No mapping activities found in the iFlow.</w:t>
      </w:r>
    </w:p>
    <w:p>
      <w:pPr>
        <w:pStyle w:val="Heading2"/>
      </w:pPr>
      <w:r>
        <w:t>5.6. Security</w:t>
      </w:r>
    </w:p>
    <w:p>
      <w:r>
        <w:rPr>
          <w:b w:val="0"/>
          <w:i w:val="0"/>
          <w:sz w:val="24"/>
        </w:rP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r>
    </w:p>
    <w:p>
      <w:r>
        <w:rPr>
          <w:b w:val="0"/>
          <w:i w:val="0"/>
          <w:sz w:val="24"/>
        </w:rPr>
        <w:t>No Groovy scripts found in the specified folder.</w:t>
      </w:r>
    </w:p>
    <w:p>
      <w:pPr>
        <w:pStyle w:val="Heading2"/>
      </w:pPr>
      <w:r>
        <w:t>5.8. Error Handling &amp; Logging</w:t>
      </w:r>
    </w:p>
    <w:p>
      <w:r>
        <w:rPr>
          <w:b w:val="0"/>
          <w:i w:val="0"/>
          <w:sz w:val="24"/>
        </w:rPr>
      </w:r>
    </w:p>
    <w:p>
      <w:r>
        <w:rPr>
          <w:b w:val="0"/>
          <w:i w:val="0"/>
          <w:sz w:val="24"/>
        </w:rPr>
        <w:t>No exception subprocesses found in the iFlow.</w:t>
      </w:r>
    </w:p>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1.4</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1.26.0</w:t>
            </w:r>
          </w:p>
        </w:tc>
      </w:tr>
    </w:tbl>
    <w:p>
      <w:r>
        <w:rPr>
          <w:b w:val="0"/>
          <w:i w:val="0"/>
          <w:sz w:val="24"/>
        </w:rPr>
      </w:r>
    </w:p>
    <w:p>
      <w:pPr>
        <w:pStyle w:val="Heading1"/>
      </w:pPr>
      <w:r>
        <w:t>7. Appendix</w:t>
      </w:r>
    </w:p>
    <w:p>
      <w:r>
        <w:rPr>
          <w:b w:val="0"/>
          <w:i w:val="0"/>
          <w:sz w:val="24"/>
        </w:rPr>
      </w:r>
    </w:p>
    <w:p>
      <w:r>
        <w:rPr>
          <w:b w:val="0"/>
          <w:i w:val="0"/>
          <w:sz w:val="24"/>
        </w:rPr>
        <w:t>No additional appendix info found in XML.</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2025-10-24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Get_Data_SV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