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8"/>
        </w:rPr>
        <w:t xml:space="preserve">SAP Integration Suite </w:t>
        <w:br/>
        <w:t>Cloud Integration - Technical Specification</w:t>
        <w:br/>
        <w:t xml:space="preserve"> iFlow Name : Post_Bulk_Order_SV</w:t>
      </w:r>
    </w:p>
    <w:p>
      <w:pPr>
        <w:jc w:val="center"/>
      </w:pPr>
      <w:r>
        <w:rPr>
          <w:b w:val="0"/>
          <w:i w:val="0"/>
          <w:sz w:val="24"/>
        </w:rPr>
        <w:t>Version: 1.0</w:t>
      </w:r>
    </w:p>
    <w:p>
      <w:pPr>
        <w:jc w:val="center"/>
      </w:pPr>
      <w:r>
        <w:rPr>
          <w:b w:val="0"/>
          <w:i w:val="0"/>
          <w:sz w:val="24"/>
        </w:rPr>
        <w:t>Author: Generated by AI</w:t>
      </w:r>
    </w:p>
    <w:p>
      <w:pPr>
        <w:jc w:val="center"/>
      </w:pPr>
      <w:r>
        <w:rPr>
          <w:b w:val="0"/>
          <w:i w:val="0"/>
          <w:sz w:val="24"/>
        </w:rPr>
        <w:t>Date: 2025-11-04</w:t>
      </w:r>
    </w:p>
    <w:p>
      <w:r>
        <w:br w:type="page"/>
      </w:r>
    </w:p>
    <w:p>
      <w:pPr>
        <w:pStyle w:val="Heading1"/>
      </w:pPr>
      <w:r>
        <w:t>Table of Contents</w:t>
      </w:r>
    </w:p>
    <w:p>
      <w:r>
        <w:rPr>
          <w:b w:val="0"/>
          <w:i w:val="0"/>
          <w:sz w:val="24"/>
        </w:rPr>
        <w:t>1. Change History</w:t>
      </w:r>
    </w:p>
    <w:p>
      <w:r>
        <w:rPr>
          <w:b w:val="0"/>
          <w:i w:val="0"/>
          <w:sz w:val="24"/>
        </w:rPr>
        <w:t>2. Overview</w:t>
      </w:r>
    </w:p>
    <w:p>
      <w:r>
        <w:rPr>
          <w:b w:val="0"/>
          <w:i w:val="0"/>
          <w:sz w:val="24"/>
        </w:rPr>
        <w:t>3. High level iFlow Design</w:t>
      </w:r>
    </w:p>
    <w:p>
      <w:r>
        <w:rPr>
          <w:b w:val="0"/>
          <w:i w:val="0"/>
          <w:sz w:val="24"/>
        </w:rPr>
        <w:t>4. Message Flow</w:t>
      </w:r>
    </w:p>
    <w:p>
      <w:r>
        <w:rPr>
          <w:b w:val="0"/>
          <w:i w:val="0"/>
          <w:sz w:val="24"/>
        </w:rPr>
        <w:t>5. Technical Description</w:t>
      </w:r>
    </w:p>
    <w:p>
      <w:r>
        <w:rPr>
          <w:b w:val="0"/>
          <w:i w:val="0"/>
          <w:sz w:val="24"/>
        </w:rPr>
        <w:t>5.1. Main Integration Process</w:t>
      </w:r>
    </w:p>
    <w:p>
      <w:r>
        <w:rPr>
          <w:b w:val="0"/>
          <w:i w:val="0"/>
          <w:sz w:val="24"/>
        </w:rPr>
        <w:t>5.2. Local Integration Process</w:t>
      </w:r>
    </w:p>
    <w:p>
      <w:r>
        <w:rPr>
          <w:b w:val="0"/>
          <w:i w:val="0"/>
          <w:sz w:val="24"/>
        </w:rPr>
        <w:t>5.3. Sender</w:t>
      </w:r>
    </w:p>
    <w:p>
      <w:r>
        <w:rPr>
          <w:b w:val="0"/>
          <w:i w:val="0"/>
          <w:sz w:val="24"/>
        </w:rPr>
        <w:t>5.4. Receiver</w:t>
      </w:r>
    </w:p>
    <w:p>
      <w:r>
        <w:rPr>
          <w:b w:val="0"/>
          <w:i w:val="0"/>
          <w:sz w:val="24"/>
        </w:rPr>
        <w:t>5.5. Mappings</w:t>
      </w:r>
    </w:p>
    <w:p>
      <w:r>
        <w:rPr>
          <w:b w:val="0"/>
          <w:i w:val="0"/>
          <w:sz w:val="24"/>
        </w:rPr>
        <w:t>5.6. Security</w:t>
      </w:r>
    </w:p>
    <w:p>
      <w:r>
        <w:rPr>
          <w:b w:val="0"/>
          <w:i w:val="0"/>
          <w:sz w:val="24"/>
        </w:rPr>
        <w:t>5.7. Groovy Scripts</w:t>
      </w:r>
    </w:p>
    <w:p>
      <w:r>
        <w:rPr>
          <w:b w:val="0"/>
          <w:i w:val="0"/>
          <w:sz w:val="24"/>
        </w:rPr>
        <w:t>5.8. Error Handling &amp; Logging</w:t>
      </w:r>
    </w:p>
    <w:p>
      <w:r>
        <w:rPr>
          <w:b w:val="0"/>
          <w:i w:val="0"/>
          <w:sz w:val="24"/>
        </w:rPr>
        <w:t>6. Version and Metadata</w:t>
      </w:r>
    </w:p>
    <w:p>
      <w:r>
        <w:rPr>
          <w:b w:val="0"/>
          <w:i w:val="0"/>
          <w:sz w:val="24"/>
        </w:rPr>
        <w:t>7. Appendix</w:t>
      </w:r>
    </w:p>
    <w:p>
      <w:r>
        <w:br w:type="page"/>
      </w:r>
    </w:p>
    <w:p>
      <w:pPr>
        <w:pStyle w:val="Heading1"/>
      </w:pPr>
      <w:r>
        <w:t>1. Change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003366"/>
              </w:rPr>
              <w:t>Version</w:t>
            </w:r>
          </w:p>
        </w:tc>
        <w:tc>
          <w:tcPr>
            <w:tcW w:type="dxa" w:w="2160"/>
          </w:tcPr>
          <w:p>
            <w:r>
              <w:rPr>
                <w:b/>
                <w:color w:val="003366"/>
              </w:rPr>
              <w:t>Date</w:t>
            </w:r>
          </w:p>
        </w:tc>
        <w:tc>
          <w:tcPr>
            <w:tcW w:type="dxa" w:w="2160"/>
          </w:tcPr>
          <w:p>
            <w:r>
              <w:rPr>
                <w:b/>
                <w:color w:val="003366"/>
              </w:rPr>
              <w:t>Author</w:t>
            </w:r>
          </w:p>
        </w:tc>
        <w:tc>
          <w:tcPr>
            <w:tcW w:type="dxa" w:w="2160"/>
          </w:tcPr>
          <w:p>
            <w:r>
              <w:rPr>
                <w:b/>
                <w:color w:val="003366"/>
              </w:rPr>
              <w:t>Description</w:t>
            </w:r>
          </w:p>
        </w:tc>
      </w:tr>
      <w:tr>
        <w:tc>
          <w:tcPr>
            <w:tcW w:type="dxa" w:w="2160"/>
          </w:tcPr>
          <w:p>
            <w:r>
              <w:t>1.0</w:t>
            </w:r>
          </w:p>
        </w:tc>
        <w:tc>
          <w:tcPr>
            <w:tcW w:type="dxa" w:w="2160"/>
          </w:tcPr>
          <w:p>
            <w:r>
              <w:t>2025-11-04</w:t>
            </w:r>
          </w:p>
        </w:tc>
        <w:tc>
          <w:tcPr>
            <w:tcW w:type="dxa" w:w="2160"/>
          </w:tcPr>
          <w:p>
            <w:r>
              <w:t>Generated by AI</w:t>
            </w:r>
          </w:p>
        </w:tc>
        <w:tc>
          <w:tcPr>
            <w:tcW w:type="dxa" w:w="2160"/>
          </w:tcPr>
          <w:p>
            <w:r>
              <w:t>Initial version</w:t>
            </w:r>
          </w:p>
        </w:tc>
      </w:tr>
    </w:tbl>
    <w:p>
      <w:r>
        <w:br w:type="page"/>
      </w:r>
    </w:p>
    <w:p>
      <w:pPr>
        <w:pStyle w:val="Heading1"/>
      </w:pPr>
      <w:r>
        <w:t>2. Overview</w:t>
      </w:r>
    </w:p>
    <w:p>
      <w:r>
        <w:rPr>
          <w:b w:val="0"/>
          <w:i w:val="0"/>
          <w:sz w:val="24"/>
        </w:rPr>
        <w:t>This technical specification document serves as a comprehensive blueprint for the SAP iFlow named Post_Bulk_Order_SV.  It details the iFlow's configuration, including sender and receiver communication channels (HTTPS, OData V2). The document captures key properties such as endpoint addresses, authentication methods, message protocols, data types, and component versions.  It also defines security aspects like authentication and authorization. This allows for a clear understanding of the iFlow's design, facilitating development, deployment, troubleshooting, and future modifications.</w:t>
        <w:br/>
      </w:r>
    </w:p>
    <w:p>
      <w:pPr>
        <w:pStyle w:val="Heading1"/>
      </w:pPr>
      <w:r>
        <w:t>3. High level iFlow Design</w:t>
      </w:r>
    </w:p>
    <w:p>
      <w:r>
        <w:rPr>
          <w:b w:val="0"/>
          <w:i w:val="0"/>
          <w:sz w:val="24"/>
        </w:rPr>
        <w:t>The Post_Bulk_Order_SV iFlow processes bulk order data from a Sender to a Receiver system.  The iFlow starts by enriching the message with constant content via the "Content Modifier 1" step. Next, the message is mapped using "Message Mapping 1", then enriched with header properties via "Content Modifier 3" before calling an external system via "Request Reply 1".  A "General Splitter 1" then splits the response into individual parts, which are routed based on status code to either persist success messages to a datastore via "Write 1" or perform data extraction and error logging for failures using "Content Modifier 2". Finally, success or failure messages are delivered to End events.</w:t>
        <w:br/>
      </w:r>
    </w:p>
    <w:p>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bpmn_diagram.png"/>
                    <pic:cNvPicPr/>
                  </pic:nvPicPr>
                  <pic:blipFill>
                    <a:blip r:embed="rId11"/>
                    <a:stretch>
                      <a:fillRect/>
                    </a:stretch>
                  </pic:blipFill>
                  <pic:spPr>
                    <a:xfrm>
                      <a:off x="0" y="0"/>
                      <a:ext cx="5486400" cy="1828800"/>
                    </a:xfrm>
                    <a:prstGeom prst="rect"/>
                  </pic:spPr>
                </pic:pic>
              </a:graphicData>
            </a:graphic>
          </wp:inline>
        </w:drawing>
      </w:r>
    </w:p>
    <w:p>
      <w:pPr>
        <w:jc w:val="center"/>
      </w:pPr>
      <w:r>
        <w:rPr>
          <w:b w:val="0"/>
          <w:i w:val="0"/>
          <w:sz w:val="24"/>
        </w:rPr>
        <w:t>Figure: High level BPMN iFlow message and sequence flow</w:t>
      </w:r>
    </w:p>
    <w:p>
      <w:pPr>
        <w:pStyle w:val="Heading1"/>
      </w:pPr>
      <w:r>
        <w:t>4. Message Flow</w:t>
      </w:r>
    </w:p>
    <w:p>
      <w:r>
        <w:rPr>
          <w:b w:val="0"/>
          <w:i w:val="0"/>
          <w:sz w:val="24"/>
        </w:rPr>
        <w:t>The iFlow contains two message flows.  The first, named "OData", is a receiver adapter using the OData V2 protocol over HTTP to interface with `http://sentrydev:44300/sap/opu/odata/sap/API_SALES_CONTRACT_SRV` and uses basic authentication. This flow creates Sales Contract records (`A_SalesContract` resource) using the POST operation, retrieves specified fields, and leverages the UST_S4_Cred credential alias. The second flow, named "HTTPS", is a sender adapter using HTTPS protocol to send data to `/post_bulk/order_sv`. This flow uses role-based authentication and requires the `ESBMessaging.send` user role and does not use XSRF protection. It also has a maximum body size of 40MB.</w:t>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3366"/>
              </w:rPr>
              <w:t>Source</w:t>
            </w:r>
          </w:p>
        </w:tc>
        <w:tc>
          <w:tcPr>
            <w:tcW w:type="dxa" w:w="2880"/>
          </w:tcPr>
          <w:p>
            <w:r>
              <w:rPr>
                <w:b/>
                <w:color w:val="003366"/>
              </w:rPr>
              <w:t>Target</w:t>
            </w:r>
          </w:p>
        </w:tc>
        <w:tc>
          <w:tcPr>
            <w:tcW w:type="dxa" w:w="2880"/>
          </w:tcPr>
          <w:p>
            <w:r>
              <w:rPr>
                <w:b/>
                <w:color w:val="003366"/>
              </w:rPr>
              <w:t>Name</w:t>
            </w:r>
          </w:p>
        </w:tc>
      </w:tr>
      <w:tr>
        <w:tc>
          <w:tcPr>
            <w:tcW w:type="dxa" w:w="2880"/>
          </w:tcPr>
          <w:p>
            <w:r>
              <w:t>Request Reply 1</w:t>
            </w:r>
          </w:p>
        </w:tc>
        <w:tc>
          <w:tcPr>
            <w:tcW w:type="dxa" w:w="2880"/>
          </w:tcPr>
          <w:p>
            <w:r>
              <w:t>Receiver1</w:t>
            </w:r>
          </w:p>
        </w:tc>
        <w:tc>
          <w:tcPr>
            <w:tcW w:type="dxa" w:w="2880"/>
          </w:tcPr>
          <w:p>
            <w:r>
              <w:t>OData</w:t>
            </w:r>
          </w:p>
        </w:tc>
      </w:tr>
      <w:tr>
        <w:tc>
          <w:tcPr>
            <w:tcW w:type="dxa" w:w="2880"/>
          </w:tcPr>
          <w:p>
            <w:r>
              <w:t>Sender</w:t>
            </w:r>
          </w:p>
        </w:tc>
        <w:tc>
          <w:tcPr>
            <w:tcW w:type="dxa" w:w="2880"/>
          </w:tcPr>
          <w:p>
            <w:r>
              <w:t>Start</w:t>
            </w:r>
          </w:p>
        </w:tc>
        <w:tc>
          <w:tcPr>
            <w:tcW w:type="dxa" w:w="2880"/>
          </w:tcPr>
          <w:p>
            <w:r>
              <w:t>HTTPS</w:t>
            </w:r>
          </w:p>
        </w:tc>
      </w:tr>
    </w:tbl>
    <w:p>
      <w:pPr>
        <w:pStyle w:val="Heading1"/>
      </w:pPr>
      <w:r>
        <w:t>5. Technical Description</w:t>
      </w:r>
    </w:p>
    <w:p>
      <w:pPr>
        <w:pStyle w:val="Heading2"/>
      </w:pPr>
      <w:r>
        <w:t xml:space="preserve">5.1. Main Integration Process </w:t>
      </w:r>
    </w:p>
    <w:p>
      <w:r>
        <w:rPr>
          <w:b w:val="0"/>
          <w:i w:val="0"/>
          <w:sz w:val="24"/>
        </w:rPr>
        <w:t>The iFlow `Process_1`, named "Integration Process," begins with a `StartEvent_2` and processes a message to two different end events. It first executes `CallActivity_5` ("Content Modifier 1"), which enriches the message with a constant value. The message is then mapped using `CallActivity_91` ("Message Mapping 1") based on the `Bulk2.mmap` mapping. The iFlow then enriches the message a third time with `CallActivity_341642` ("Content Modifier 3"), extracts data from the item material field, and uses that data in a `ServiceTask_75189` ("Request Reply 1"). `CallActivity_341644` ("General Splitter 1") splits the message based on the `/batchPartResponse/batchChangeSetResponse/batchChangeSetPartResponse` XPath expression before routing it through an `ExclusiveGateway_75193` ("Router 1"). Finally based on the status code from `/batchPartResponse/batchChangeSetResponse/batchChangeSetPartResponse/statusCode` the data will either be written to the database using the `CallActivity_75201` DBstorage or enriched with a wrap content value and terminated, `CallActivity_75198`.</w:t>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003366"/>
              </w:rPr>
              <w:t>Component Name</w:t>
            </w:r>
          </w:p>
        </w:tc>
        <w:tc>
          <w:tcPr>
            <w:tcW w:type="dxa" w:w="2880"/>
          </w:tcPr>
          <w:p>
            <w:r>
              <w:rPr>
                <w:b/>
                <w:color w:val="003366"/>
              </w:rPr>
              <w:t>Key</w:t>
            </w:r>
          </w:p>
        </w:tc>
        <w:tc>
          <w:tcPr>
            <w:tcW w:type="dxa" w:w="2880"/>
          </w:tcPr>
          <w:p>
            <w:r>
              <w:rPr>
                <w:b/>
                <w:color w:val="003366"/>
              </w:rPr>
              <w:t>Value</w:t>
            </w:r>
          </w:p>
        </w:tc>
      </w:tr>
      <w:tr>
        <w:tc>
          <w:tcPr>
            <w:tcW w:type="dxa" w:w="2880"/>
          </w:tcPr>
          <w:p>
            <w:r>
              <w:t>Integration Process</w:t>
            </w:r>
          </w:p>
        </w:tc>
        <w:tc>
          <w:tcPr>
            <w:tcW w:type="dxa" w:w="2880"/>
          </w:tcPr>
          <w:p>
            <w:r>
              <w:t>Transaction Timeout</w:t>
            </w:r>
          </w:p>
        </w:tc>
        <w:tc>
          <w:tcPr>
            <w:tcW w:type="dxa" w:w="2880"/>
          </w:tcPr>
          <w:p>
            <w:r>
              <w:t>30</w:t>
            </w:r>
          </w:p>
        </w:tc>
      </w:tr>
      <w:tr>
        <w:tc>
          <w:tcPr>
            <w:tcW w:type="dxa" w:w="2880"/>
          </w:tcPr>
          <w:p>
            <w:r>
              <w:t>Integration Process</w:t>
            </w:r>
          </w:p>
        </w:tc>
        <w:tc>
          <w:tcPr>
            <w:tcW w:type="dxa" w:w="2880"/>
          </w:tcPr>
          <w:p>
            <w:r>
              <w:t>Component Version</w:t>
            </w:r>
          </w:p>
        </w:tc>
        <w:tc>
          <w:tcPr>
            <w:tcW w:type="dxa" w:w="2880"/>
          </w:tcPr>
          <w:p>
            <w:r>
              <w:t>1.2</w:t>
            </w:r>
          </w:p>
        </w:tc>
      </w:tr>
      <w:tr>
        <w:tc>
          <w:tcPr>
            <w:tcW w:type="dxa" w:w="2880"/>
          </w:tcPr>
          <w:p>
            <w:r>
              <w:t>Integration Process</w:t>
            </w:r>
          </w:p>
        </w:tc>
        <w:tc>
          <w:tcPr>
            <w:tcW w:type="dxa" w:w="2880"/>
          </w:tcPr>
          <w:p>
            <w:r>
              <w:t>Cmd Variant Uri</w:t>
            </w:r>
          </w:p>
        </w:tc>
        <w:tc>
          <w:tcPr>
            <w:tcW w:type="dxa" w:w="2880"/>
          </w:tcPr>
          <w:p>
            <w:r>
              <w:t>ctype::FlowElementVariant/cname::IntegrationProcess/version::1.2.1</w:t>
            </w:r>
          </w:p>
        </w:tc>
      </w:tr>
      <w:tr>
        <w:tc>
          <w:tcPr>
            <w:tcW w:type="dxa" w:w="2880"/>
          </w:tcPr>
          <w:p>
            <w:r>
              <w:t>Integration Process</w:t>
            </w:r>
          </w:p>
        </w:tc>
        <w:tc>
          <w:tcPr>
            <w:tcW w:type="dxa" w:w="2880"/>
          </w:tcPr>
          <w:p>
            <w:r>
              <w:t>Transactional Handling</w:t>
            </w:r>
          </w:p>
        </w:tc>
        <w:tc>
          <w:tcPr>
            <w:tcW w:type="dxa" w:w="2880"/>
          </w:tcPr>
          <w:p>
            <w:r>
              <w:t>Not Required</w:t>
            </w:r>
          </w:p>
        </w:tc>
      </w:tr>
    </w:tbl>
    <w:p>
      <w:pPr>
        <w:pStyle w:val="Heading3"/>
      </w:pPr>
      <w:r>
        <w:t>serviceTask Request Reply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1.0</w:t>
            </w:r>
          </w:p>
        </w:tc>
      </w:tr>
      <w:tr>
        <w:tc>
          <w:tcPr>
            <w:tcW w:type="dxa" w:w="4320"/>
          </w:tcPr>
          <w:p>
            <w:r>
              <w:t>Activity Type</w:t>
            </w:r>
          </w:p>
        </w:tc>
        <w:tc>
          <w:tcPr>
            <w:tcW w:type="dxa" w:w="4320"/>
          </w:tcPr>
          <w:p>
            <w:r>
              <w:t>ExternalCall</w:t>
            </w:r>
          </w:p>
        </w:tc>
      </w:tr>
      <w:tr>
        <w:tc>
          <w:tcPr>
            <w:tcW w:type="dxa" w:w="4320"/>
          </w:tcPr>
          <w:p>
            <w:r>
              <w:t>Cmd Variant Uri</w:t>
            </w:r>
          </w:p>
        </w:tc>
        <w:tc>
          <w:tcPr>
            <w:tcW w:type="dxa" w:w="4320"/>
          </w:tcPr>
          <w:p>
            <w:r>
              <w:t>ctype::FlowstepVariant/cname::ExternalCall/version::1.0.4</w:t>
            </w:r>
          </w:p>
        </w:tc>
      </w:tr>
    </w:tbl>
    <w:p>
      <w:pPr>
        <w:pStyle w:val="Heading3"/>
      </w:pPr>
      <w:r>
        <w:t>endEvent End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1.1</w:t>
            </w:r>
          </w:p>
        </w:tc>
      </w:tr>
      <w:tr>
        <w:tc>
          <w:tcPr>
            <w:tcW w:type="dxa" w:w="4320"/>
          </w:tcPr>
          <w:p>
            <w:r>
              <w:t>Cmd Variant Uri</w:t>
            </w:r>
          </w:p>
        </w:tc>
        <w:tc>
          <w:tcPr>
            <w:tcW w:type="dxa" w:w="4320"/>
          </w:tcPr>
          <w:p>
            <w:r>
              <w:t>ctype::FlowstepVariant/cname::MessageEndEvent/version::1.1.0</w:t>
            </w:r>
          </w:p>
        </w:tc>
      </w:tr>
    </w:tbl>
    <w:p>
      <w:pPr>
        <w:pStyle w:val="Heading3"/>
      </w:pPr>
      <w:r>
        <w:t>endEvent End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1.1</w:t>
            </w:r>
          </w:p>
        </w:tc>
      </w:tr>
      <w:tr>
        <w:tc>
          <w:tcPr>
            <w:tcW w:type="dxa" w:w="4320"/>
          </w:tcPr>
          <w:p>
            <w:r>
              <w:t>Cmd Variant Uri</w:t>
            </w:r>
          </w:p>
        </w:tc>
        <w:tc>
          <w:tcPr>
            <w:tcW w:type="dxa" w:w="4320"/>
          </w:tcPr>
          <w:p>
            <w:r>
              <w:t>ctype::FlowstepVariant/cname::MessageEndEvent/version::1.1.0</w:t>
            </w:r>
          </w:p>
        </w:tc>
      </w:tr>
    </w:tbl>
    <w:p>
      <w:pPr>
        <w:pStyle w:val="Heading3"/>
      </w:pPr>
      <w:r>
        <w:t>callActivity Content Modifier 2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Body Type</w:t>
            </w:r>
          </w:p>
        </w:tc>
        <w:tc>
          <w:tcPr>
            <w:tcW w:type="dxa" w:w="4320"/>
          </w:tcPr>
          <w:p>
            <w:r>
              <w:t>expression</w:t>
            </w:r>
          </w:p>
        </w:tc>
      </w:tr>
      <w:tr>
        <w:tc>
          <w:tcPr>
            <w:tcW w:type="dxa" w:w="4320"/>
          </w:tcPr>
          <w:p>
            <w:r>
              <w:t>Property Table</w:t>
            </w:r>
          </w:p>
        </w:tc>
        <w:tc>
          <w:tcPr>
            <w:tcW w:type="dxa" w:w="4320"/>
          </w:tcPr>
          <w:p>
            <w:r>
              <w:t>&lt;row&gt;&lt;cell id='Action'&gt;Create&lt;/cell&gt;&lt;cell id='Type'&gt;xpath&lt;/cell&gt;&lt;cell id='Value'&gt;//batchChangeSetPart/A_SalesContract//A_SalesContractItemType/Material&lt;/cell&gt;&lt;cell id='Default'&gt;&lt;/cell&gt;&lt;cell id='Name'&gt;Material_Number&lt;/cell&gt;&lt;cell id='Datatype'&gt;java.lang.String&lt;/cell&gt;&lt;/row&gt;</w:t>
            </w:r>
          </w:p>
        </w:tc>
      </w:tr>
      <w:tr>
        <w:tc>
          <w:tcPr>
            <w:tcW w:type="dxa" w:w="4320"/>
          </w:tcPr>
          <w:p>
            <w:r>
              <w:t>Header Table</w:t>
            </w:r>
          </w:p>
        </w:tc>
        <w:tc>
          <w:tcPr>
            <w:tcW w:type="dxa" w:w="4320"/>
          </w:tcPr>
          <w:p>
            <w:r/>
          </w:p>
        </w:tc>
      </w:tr>
      <w:tr>
        <w:tc>
          <w:tcPr>
            <w:tcW w:type="dxa" w:w="4320"/>
          </w:tcPr>
          <w:p>
            <w:r>
              <w:t>Wrap Content</w:t>
            </w:r>
          </w:p>
        </w:tc>
        <w:tc>
          <w:tcPr>
            <w:tcW w:type="dxa" w:w="4320"/>
          </w:tcPr>
          <w:p>
            <w:r>
              <w:t>Order is not created Sucessfully ${header.Mat2}.</w:t>
              <w:br/>
              <w:t>Order is not created Sucessfully ${header.Mat2}.</w:t>
            </w:r>
          </w:p>
        </w:tc>
      </w:tr>
      <w:tr>
        <w:tc>
          <w:tcPr>
            <w:tcW w:type="dxa" w:w="4320"/>
          </w:tcPr>
          <w:p>
            <w:r>
              <w:t>Component Version</w:t>
            </w:r>
          </w:p>
        </w:tc>
        <w:tc>
          <w:tcPr>
            <w:tcW w:type="dxa" w:w="4320"/>
          </w:tcPr>
          <w:p>
            <w:r>
              <w:t>1.6</w:t>
            </w:r>
          </w:p>
        </w:tc>
      </w:tr>
      <w:tr>
        <w:tc>
          <w:tcPr>
            <w:tcW w:type="dxa" w:w="4320"/>
          </w:tcPr>
          <w:p>
            <w:r>
              <w:t>Activity Type</w:t>
            </w:r>
          </w:p>
        </w:tc>
        <w:tc>
          <w:tcPr>
            <w:tcW w:type="dxa" w:w="4320"/>
          </w:tcPr>
          <w:p>
            <w:r>
              <w:t>Enricher</w:t>
            </w:r>
          </w:p>
        </w:tc>
      </w:tr>
      <w:tr>
        <w:tc>
          <w:tcPr>
            <w:tcW w:type="dxa" w:w="4320"/>
          </w:tcPr>
          <w:p>
            <w:r>
              <w:t>Cmd Variant Uri</w:t>
            </w:r>
          </w:p>
        </w:tc>
        <w:tc>
          <w:tcPr>
            <w:tcW w:type="dxa" w:w="4320"/>
          </w:tcPr>
          <w:p>
            <w:r>
              <w:t>ctype::FlowstepVariant/cname::Enricher/version::1.6.0</w:t>
            </w:r>
          </w:p>
        </w:tc>
      </w:tr>
    </w:tbl>
    <w:p>
      <w:pPr>
        <w:pStyle w:val="Heading3"/>
      </w:pPr>
      <w:r>
        <w:t>callActivity Content Modifier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Body Type</w:t>
            </w:r>
          </w:p>
        </w:tc>
        <w:tc>
          <w:tcPr>
            <w:tcW w:type="dxa" w:w="4320"/>
          </w:tcPr>
          <w:p>
            <w:r>
              <w:t>constant</w:t>
            </w:r>
          </w:p>
        </w:tc>
      </w:tr>
      <w:tr>
        <w:tc>
          <w:tcPr>
            <w:tcW w:type="dxa" w:w="4320"/>
          </w:tcPr>
          <w:p>
            <w:r>
              <w:t>Property Table</w:t>
            </w:r>
          </w:p>
        </w:tc>
        <w:tc>
          <w:tcPr>
            <w:tcW w:type="dxa" w:w="4320"/>
          </w:tcPr>
          <w:p>
            <w:r/>
          </w:p>
        </w:tc>
      </w:tr>
      <w:tr>
        <w:tc>
          <w:tcPr>
            <w:tcW w:type="dxa" w:w="4320"/>
          </w:tcPr>
          <w:p>
            <w:r>
              <w:t>Header Table</w:t>
            </w:r>
          </w:p>
        </w:tc>
        <w:tc>
          <w:tcPr>
            <w:tcW w:type="dxa" w:w="4320"/>
          </w:tcPr>
          <w:p>
            <w:r/>
          </w:p>
        </w:tc>
      </w:tr>
      <w:tr>
        <w:tc>
          <w:tcPr>
            <w:tcW w:type="dxa" w:w="4320"/>
          </w:tcPr>
          <w:p>
            <w:r>
              <w:t>Wrap Content</w:t>
            </w:r>
          </w:p>
        </w:tc>
        <w:tc>
          <w:tcPr>
            <w:tcW w:type="dxa" w:w="4320"/>
          </w:tcPr>
          <w:p>
            <w:r>
              <w:t>&lt;ROOT&gt;</w:t>
              <w:br/>
              <w:t xml:space="preserve">  &lt;select_response&gt;</w:t>
              <w:br/>
              <w:t xml:space="preserve">    &lt;row&gt;</w:t>
              <w:br/>
              <w:t xml:space="preserve">      &lt;BULK_ORDER_NO&gt;16101702&lt;/BULK_ORDER_NO&gt;</w:t>
              <w:br/>
              <w:t xml:space="preserve">      &lt;BULKTYPE/&gt;</w:t>
              <w:br/>
              <w:t xml:space="preserve">      &lt;START_DATE&gt;2017-10-16T00:00:00&lt;/START_DATE&gt;</w:t>
              <w:br/>
              <w:t xml:space="preserve">      &lt;LASTEDTDT&gt;2018-10-16T00:00:00&lt;/LASTEDTDT&gt;</w:t>
              <w:br/>
              <w:t xml:space="preserve">      &lt;SAP_MATERIAL_ID&gt;TG12&lt;/SAP_MATERIAL_ID&gt;</w:t>
              <w:br/>
              <w:t xml:space="preserve">      &lt;ORDER_QTY&gt;1&lt;/ORDER_QTY&gt;</w:t>
              <w:br/>
              <w:t xml:space="preserve">      &lt;UOM&gt;EA&lt;/UOM&gt;</w:t>
              <w:br/>
              <w:t xml:space="preserve">      &lt;CURRENCY&gt;USD&lt;/CURRENCY&gt;</w:t>
              <w:br/>
              <w:t xml:space="preserve">      &lt;SOLDTO&gt;17100001&lt;/SOLDTO&gt;</w:t>
              <w:br/>
              <w:t xml:space="preserve">      &lt;STYLE_NO&gt;TAMFD30TAR&lt;/STYLE_NO&gt;</w:t>
              <w:br/>
              <w:t xml:space="preserve">      &lt;COLCD&gt;JS0&lt;/COLCD&gt;</w:t>
              <w:br/>
              <w:t xml:space="preserve">      &lt;TEAMKEY&gt;817&lt;/TEAMKEY&gt;</w:t>
              <w:br/>
              <w:t xml:space="preserve">      &lt;SIZ&gt;M &lt;/SIZ&gt;</w:t>
              <w:br/>
              <w:t xml:space="preserve">      &lt;LOGOCD&gt;4YV&lt;/LOGOCD&gt;</w:t>
              <w:br/>
              <w:t xml:space="preserve">      &lt;PACKNOTES&gt;HWSF&lt;/PACKNOTES&gt;</w:t>
              <w:br/>
              <w:t xml:space="preserve">    &lt;/row&gt;</w:t>
              <w:br/>
              <w:t xml:space="preserve">    &lt;row&gt;</w:t>
              <w:br/>
              <w:t xml:space="preserve">      &lt;BULK_ORDER_NO&gt;16101701&lt;/BULK_ORDER_NO&gt;</w:t>
              <w:br/>
              <w:t xml:space="preserve">      &lt;BULKTYPE/&gt;</w:t>
              <w:br/>
              <w:t xml:space="preserve">      &lt;START_DATE&gt;2017-10-16T00:00:00&lt;/START_DATE&gt;</w:t>
              <w:br/>
              <w:t xml:space="preserve">      &lt;LASTEDTDT&gt;2018-10-16T00:00:00&lt;/LASTEDTDT&gt;</w:t>
              <w:br/>
              <w:t xml:space="preserve">      &lt;SAP_MATERIAL_ID&gt;TG12&lt;/SAP_MATERIAL_ID&gt;</w:t>
              <w:br/>
              <w:t xml:space="preserve">      &lt;ORDER_QTY&gt;1&lt;/ORDER_QTY&gt;</w:t>
              <w:br/>
              <w:t xml:space="preserve">      &lt;UOM&gt;EA&lt;/UOM&gt;</w:t>
              <w:br/>
              <w:t xml:space="preserve">      &lt;CURRENCY&gt;USD&lt;/CURRENCY&gt;</w:t>
              <w:br/>
              <w:t xml:space="preserve">      &lt;SOLDTO&gt;17100001&lt;/SOLDTO&gt;</w:t>
              <w:br/>
              <w:t xml:space="preserve">      &lt;STYLE_NO&gt;TAMFD30TAR&lt;/STYLE_NO&gt;</w:t>
              <w:br/>
              <w:t xml:space="preserve">      &lt;COLCD&gt;JS0&lt;/COLCD&gt;</w:t>
              <w:br/>
              <w:t xml:space="preserve">      &lt;TEAMKEY&gt;817&lt;/TEAMKEY&gt;</w:t>
              <w:br/>
              <w:t xml:space="preserve">      &lt;SIZ&gt;M &lt;/SIZ&gt;</w:t>
              <w:br/>
              <w:t xml:space="preserve">      &lt;LOGOCD&gt;4YV&lt;/LOGOCD&gt;</w:t>
              <w:br/>
              <w:t xml:space="preserve">      &lt;PACKNOTES&gt;HWSF&lt;/PACKNOTES&gt;</w:t>
              <w:br/>
              <w:t xml:space="preserve">    &lt;/row&gt;</w:t>
              <w:br/>
              <w:t xml:space="preserve">    &lt;row&gt;</w:t>
              <w:br/>
              <w:t xml:space="preserve">      &lt;BULK_ORDER_NO&gt;16101703&lt;/BULK_ORDER_NO&gt;</w:t>
              <w:br/>
              <w:t xml:space="preserve">      &lt;BULKTYPE/&gt;</w:t>
              <w:br/>
              <w:t xml:space="preserve">      &lt;START_DATE&gt;2017-10-16T00:00:00&lt;/START_DATE&gt;</w:t>
              <w:br/>
              <w:t xml:space="preserve">      &lt;LASTEDTDT&gt;2018-10-16T00:00:00&lt;/LASTEDTDT&gt;</w:t>
              <w:br/>
              <w:t xml:space="preserve">      &lt;SAP_MATERIAL_ID&gt;INVALID_MAT&lt;/SAP_MATERIAL_ID&gt;</w:t>
              <w:br/>
              <w:t xml:space="preserve">      &lt;ORDER_QTY&gt;-5&lt;/ORDER_QTY&gt;</w:t>
              <w:br/>
              <w:t xml:space="preserve">      &lt;UOM&gt;ZZ&lt;/UOM&gt;</w:t>
              <w:br/>
              <w:t xml:space="preserve">      &lt;CURRENCY&gt;XXX&lt;/CURRENCY&gt;</w:t>
              <w:br/>
              <w:t xml:space="preserve">      &lt;SOLDTO&gt;00000000&lt;/SOLDTO&gt;</w:t>
              <w:br/>
              <w:t xml:space="preserve">      &lt;STYLE_NO&gt;TAMFD30TAR&lt;/STYLE_NO&gt;</w:t>
              <w:br/>
              <w:t xml:space="preserve">      &lt;COLCD&gt;JS0&lt;/COLCD&gt;</w:t>
              <w:br/>
              <w:t xml:space="preserve">      &lt;TEAMKEY&gt;817&lt;/TEAMKEY&gt;</w:t>
              <w:br/>
              <w:t xml:space="preserve">      &lt;SIZ&gt;M &lt;/SIZ&gt;</w:t>
              <w:br/>
              <w:t xml:space="preserve">      &lt;LOGOCD&gt;4YV&lt;/LOGOCD&gt;</w:t>
              <w:br/>
              <w:t xml:space="preserve">      &lt;PACKNOTES&gt;HWSF&lt;/PACKNOTES&gt;</w:t>
              <w:br/>
              <w:t xml:space="preserve">    &lt;/row&gt;</w:t>
              <w:br/>
              <w:t xml:space="preserve">  &lt;/select_response&gt;</w:t>
              <w:br/>
              <w:t>&lt;/ROOT&gt;</w:t>
            </w:r>
          </w:p>
        </w:tc>
      </w:tr>
      <w:tr>
        <w:tc>
          <w:tcPr>
            <w:tcW w:type="dxa" w:w="4320"/>
          </w:tcPr>
          <w:p>
            <w:r>
              <w:t>Component Version</w:t>
            </w:r>
          </w:p>
        </w:tc>
        <w:tc>
          <w:tcPr>
            <w:tcW w:type="dxa" w:w="4320"/>
          </w:tcPr>
          <w:p>
            <w:r>
              <w:t>1.6</w:t>
            </w:r>
          </w:p>
        </w:tc>
      </w:tr>
      <w:tr>
        <w:tc>
          <w:tcPr>
            <w:tcW w:type="dxa" w:w="4320"/>
          </w:tcPr>
          <w:p>
            <w:r>
              <w:t>Activity Type</w:t>
            </w:r>
          </w:p>
        </w:tc>
        <w:tc>
          <w:tcPr>
            <w:tcW w:type="dxa" w:w="4320"/>
          </w:tcPr>
          <w:p>
            <w:r>
              <w:t>Enricher</w:t>
            </w:r>
          </w:p>
        </w:tc>
      </w:tr>
      <w:tr>
        <w:tc>
          <w:tcPr>
            <w:tcW w:type="dxa" w:w="4320"/>
          </w:tcPr>
          <w:p>
            <w:r>
              <w:t>Cmd Variant Uri</w:t>
            </w:r>
          </w:p>
        </w:tc>
        <w:tc>
          <w:tcPr>
            <w:tcW w:type="dxa" w:w="4320"/>
          </w:tcPr>
          <w:p>
            <w:r>
              <w:t>ctype::FlowstepVariant/cname::Enricher/version::1.6.0</w:t>
            </w:r>
          </w:p>
        </w:tc>
      </w:tr>
    </w:tbl>
    <w:p>
      <w:pPr>
        <w:pStyle w:val="Heading3"/>
      </w:pPr>
      <w:r>
        <w:t>callActivity Content Modifier 3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Body Type</w:t>
            </w:r>
          </w:p>
        </w:tc>
        <w:tc>
          <w:tcPr>
            <w:tcW w:type="dxa" w:w="4320"/>
          </w:tcPr>
          <w:p>
            <w:r>
              <w:t>constant</w:t>
            </w:r>
          </w:p>
        </w:tc>
      </w:tr>
      <w:tr>
        <w:tc>
          <w:tcPr>
            <w:tcW w:type="dxa" w:w="4320"/>
          </w:tcPr>
          <w:p>
            <w:r>
              <w:t>Property Table</w:t>
            </w:r>
          </w:p>
        </w:tc>
        <w:tc>
          <w:tcPr>
            <w:tcW w:type="dxa" w:w="4320"/>
          </w:tcPr>
          <w:p>
            <w:r/>
          </w:p>
        </w:tc>
      </w:tr>
      <w:tr>
        <w:tc>
          <w:tcPr>
            <w:tcW w:type="dxa" w:w="4320"/>
          </w:tcPr>
          <w:p>
            <w:r>
              <w:t>Header Table</w:t>
            </w:r>
          </w:p>
        </w:tc>
        <w:tc>
          <w:tcPr>
            <w:tcW w:type="dxa" w:w="4320"/>
          </w:tcPr>
          <w:p>
            <w:r>
              <w:t>&lt;row&gt;&lt;cell id='Action'&gt;Create&lt;/cell&gt;&lt;cell id='Type'&gt;xpath&lt;/cell&gt;&lt;cell id='Value'&gt;//A_SalesContractItemType/Material&lt;/cell&gt;&lt;cell id='Default'&gt;&lt;/cell&gt;&lt;cell id='Name'&gt;Mat2&lt;/cell&gt;&lt;cell id='Datatype'&gt;java.lang.String&lt;/cell&gt;&lt;/row&gt;</w:t>
            </w:r>
          </w:p>
        </w:tc>
      </w:tr>
      <w:tr>
        <w:tc>
          <w:tcPr>
            <w:tcW w:type="dxa" w:w="4320"/>
          </w:tcPr>
          <w:p>
            <w:r>
              <w:t>Wrap Content</w:t>
            </w:r>
          </w:p>
        </w:tc>
        <w:tc>
          <w:tcPr>
            <w:tcW w:type="dxa" w:w="4320"/>
          </w:tcPr>
          <w:p>
            <w:r/>
          </w:p>
        </w:tc>
      </w:tr>
      <w:tr>
        <w:tc>
          <w:tcPr>
            <w:tcW w:type="dxa" w:w="4320"/>
          </w:tcPr>
          <w:p>
            <w:r>
              <w:t>Component Version</w:t>
            </w:r>
          </w:p>
        </w:tc>
        <w:tc>
          <w:tcPr>
            <w:tcW w:type="dxa" w:w="4320"/>
          </w:tcPr>
          <w:p>
            <w:r>
              <w:t>1.6</w:t>
            </w:r>
          </w:p>
        </w:tc>
      </w:tr>
      <w:tr>
        <w:tc>
          <w:tcPr>
            <w:tcW w:type="dxa" w:w="4320"/>
          </w:tcPr>
          <w:p>
            <w:r>
              <w:t>Activity Type</w:t>
            </w:r>
          </w:p>
        </w:tc>
        <w:tc>
          <w:tcPr>
            <w:tcW w:type="dxa" w:w="4320"/>
          </w:tcPr>
          <w:p>
            <w:r>
              <w:t>Enricher</w:t>
            </w:r>
          </w:p>
        </w:tc>
      </w:tr>
      <w:tr>
        <w:tc>
          <w:tcPr>
            <w:tcW w:type="dxa" w:w="4320"/>
          </w:tcPr>
          <w:p>
            <w:r>
              <w:t>Cmd Variant Uri</w:t>
            </w:r>
          </w:p>
        </w:tc>
        <w:tc>
          <w:tcPr>
            <w:tcW w:type="dxa" w:w="4320"/>
          </w:tcPr>
          <w:p>
            <w:r>
              <w:t>ctype::FlowstepVariant/cname::Enricher/version::1.6.0</w:t>
            </w:r>
          </w:p>
        </w:tc>
      </w:tr>
    </w:tbl>
    <w:p>
      <w:pPr>
        <w:pStyle w:val="Heading3"/>
      </w:pPr>
      <w:r>
        <w:t>exclusiveGateway Router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1.1</w:t>
            </w:r>
          </w:p>
        </w:tc>
      </w:tr>
      <w:tr>
        <w:tc>
          <w:tcPr>
            <w:tcW w:type="dxa" w:w="4320"/>
          </w:tcPr>
          <w:p>
            <w:r>
              <w:t>Activity Type</w:t>
            </w:r>
          </w:p>
        </w:tc>
        <w:tc>
          <w:tcPr>
            <w:tcW w:type="dxa" w:w="4320"/>
          </w:tcPr>
          <w:p>
            <w:r>
              <w:t>ExclusiveGateway</w:t>
            </w:r>
          </w:p>
        </w:tc>
      </w:tr>
      <w:tr>
        <w:tc>
          <w:tcPr>
            <w:tcW w:type="dxa" w:w="4320"/>
          </w:tcPr>
          <w:p>
            <w:r>
              <w:t>Cmd Variant Uri</w:t>
            </w:r>
          </w:p>
        </w:tc>
        <w:tc>
          <w:tcPr>
            <w:tcW w:type="dxa" w:w="4320"/>
          </w:tcPr>
          <w:p>
            <w:r>
              <w:t>ctype::FlowstepVariant/cname::ExclusiveGateway/version::1.1.2</w:t>
            </w:r>
          </w:p>
        </w:tc>
      </w:tr>
      <w:tr>
        <w:tc>
          <w:tcPr>
            <w:tcW w:type="dxa" w:w="4320"/>
          </w:tcPr>
          <w:p>
            <w:r>
              <w:t>Throw Exception</w:t>
            </w:r>
          </w:p>
        </w:tc>
        <w:tc>
          <w:tcPr>
            <w:tcW w:type="dxa" w:w="4320"/>
          </w:tcPr>
          <w:p>
            <w:r>
              <w:t>false</w:t>
            </w:r>
          </w:p>
        </w:tc>
      </w:tr>
    </w:tbl>
    <w:p>
      <w:pPr>
        <w:pStyle w:val="Heading3"/>
      </w:pPr>
      <w:r>
        <w:t>startEvent Start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Version</w:t>
            </w:r>
          </w:p>
        </w:tc>
        <w:tc>
          <w:tcPr>
            <w:tcW w:type="dxa" w:w="4320"/>
          </w:tcPr>
          <w:p>
            <w:r>
              <w:t>1.0</w:t>
            </w:r>
          </w:p>
        </w:tc>
      </w:tr>
      <w:tr>
        <w:tc>
          <w:tcPr>
            <w:tcW w:type="dxa" w:w="4320"/>
          </w:tcPr>
          <w:p>
            <w:r>
              <w:t>Cmd Variant Uri</w:t>
            </w:r>
          </w:p>
        </w:tc>
        <w:tc>
          <w:tcPr>
            <w:tcW w:type="dxa" w:w="4320"/>
          </w:tcPr>
          <w:p>
            <w:r>
              <w:t>ctype::FlowstepVariant/cname::MessageStartEvent/version::1.0</w:t>
            </w:r>
          </w:p>
        </w:tc>
      </w:tr>
    </w:tbl>
    <w:p>
      <w:pPr>
        <w:pStyle w:val="Heading3"/>
      </w:pPr>
      <w:r>
        <w:t>callActivity General Splitter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Expr Type</w:t>
            </w:r>
          </w:p>
        </w:tc>
        <w:tc>
          <w:tcPr>
            <w:tcW w:type="dxa" w:w="4320"/>
          </w:tcPr>
          <w:p>
            <w:r>
              <w:t>XPath</w:t>
            </w:r>
          </w:p>
        </w:tc>
      </w:tr>
      <w:tr>
        <w:tc>
          <w:tcPr>
            <w:tcW w:type="dxa" w:w="4320"/>
          </w:tcPr>
          <w:p>
            <w:r>
              <w:t>Streaming</w:t>
            </w:r>
          </w:p>
        </w:tc>
        <w:tc>
          <w:tcPr>
            <w:tcW w:type="dxa" w:w="4320"/>
          </w:tcPr>
          <w:p>
            <w:r>
              <w:t>true</w:t>
            </w:r>
          </w:p>
        </w:tc>
      </w:tr>
      <w:tr>
        <w:tc>
          <w:tcPr>
            <w:tcW w:type="dxa" w:w="4320"/>
          </w:tcPr>
          <w:p>
            <w:r>
              <w:t>Stop On Execution</w:t>
            </w:r>
          </w:p>
        </w:tc>
        <w:tc>
          <w:tcPr>
            <w:tcW w:type="dxa" w:w="4320"/>
          </w:tcPr>
          <w:p>
            <w:r>
              <w:t>true</w:t>
            </w:r>
          </w:p>
        </w:tc>
      </w:tr>
      <w:tr>
        <w:tc>
          <w:tcPr>
            <w:tcW w:type="dxa" w:w="4320"/>
          </w:tcPr>
          <w:p>
            <w:r>
              <w:t>Splitter Threads</w:t>
            </w:r>
          </w:p>
        </w:tc>
        <w:tc>
          <w:tcPr>
            <w:tcW w:type="dxa" w:w="4320"/>
          </w:tcPr>
          <w:p>
            <w:r>
              <w:t>10</w:t>
            </w:r>
          </w:p>
        </w:tc>
      </w:tr>
      <w:tr>
        <w:tc>
          <w:tcPr>
            <w:tcW w:type="dxa" w:w="4320"/>
          </w:tcPr>
          <w:p>
            <w:r>
              <w:t>Split Expr Value</w:t>
            </w:r>
          </w:p>
        </w:tc>
        <w:tc>
          <w:tcPr>
            <w:tcW w:type="dxa" w:w="4320"/>
          </w:tcPr>
          <w:p>
            <w:r>
              <w:t>/batchPartResponse/batchChangeSetResponse/batchChangeSetPartResponse</w:t>
            </w:r>
          </w:p>
        </w:tc>
      </w:tr>
      <w:tr>
        <w:tc>
          <w:tcPr>
            <w:tcW w:type="dxa" w:w="4320"/>
          </w:tcPr>
          <w:p>
            <w:r>
              <w:t>Parallel Processing</w:t>
            </w:r>
          </w:p>
        </w:tc>
        <w:tc>
          <w:tcPr>
            <w:tcW w:type="dxa" w:w="4320"/>
          </w:tcPr>
          <w:p>
            <w:r>
              <w:t>false</w:t>
            </w:r>
          </w:p>
        </w:tc>
      </w:tr>
      <w:tr>
        <w:tc>
          <w:tcPr>
            <w:tcW w:type="dxa" w:w="4320"/>
          </w:tcPr>
          <w:p>
            <w:r>
              <w:t>Component Version</w:t>
            </w:r>
          </w:p>
        </w:tc>
        <w:tc>
          <w:tcPr>
            <w:tcW w:type="dxa" w:w="4320"/>
          </w:tcPr>
          <w:p>
            <w:r>
              <w:t>1.6</w:t>
            </w:r>
          </w:p>
        </w:tc>
      </w:tr>
      <w:tr>
        <w:tc>
          <w:tcPr>
            <w:tcW w:type="dxa" w:w="4320"/>
          </w:tcPr>
          <w:p>
            <w:r>
              <w:t>Activity Type</w:t>
            </w:r>
          </w:p>
        </w:tc>
        <w:tc>
          <w:tcPr>
            <w:tcW w:type="dxa" w:w="4320"/>
          </w:tcPr>
          <w:p>
            <w:r>
              <w:t>Splitter</w:t>
            </w:r>
          </w:p>
        </w:tc>
      </w:tr>
      <w:tr>
        <w:tc>
          <w:tcPr>
            <w:tcW w:type="dxa" w:w="4320"/>
          </w:tcPr>
          <w:p>
            <w:r>
              <w:t>Cmd Variant Uri</w:t>
            </w:r>
          </w:p>
        </w:tc>
        <w:tc>
          <w:tcPr>
            <w:tcW w:type="dxa" w:w="4320"/>
          </w:tcPr>
          <w:p>
            <w:r>
              <w:t>ctype::FlowstepVariant/cname::GeneralSplitter/version::1.6.0</w:t>
            </w:r>
          </w:p>
        </w:tc>
      </w:tr>
      <w:tr>
        <w:tc>
          <w:tcPr>
            <w:tcW w:type="dxa" w:w="4320"/>
          </w:tcPr>
          <w:p>
            <w:r>
              <w:t>Grouping</w:t>
            </w:r>
          </w:p>
        </w:tc>
        <w:tc>
          <w:tcPr>
            <w:tcW w:type="dxa" w:w="4320"/>
          </w:tcPr>
          <w:p>
            <w:r>
              <w:t>1</w:t>
            </w:r>
          </w:p>
        </w:tc>
      </w:tr>
      <w:tr>
        <w:tc>
          <w:tcPr>
            <w:tcW w:type="dxa" w:w="4320"/>
          </w:tcPr>
          <w:p>
            <w:r>
              <w:t>Split Type</w:t>
            </w:r>
          </w:p>
        </w:tc>
        <w:tc>
          <w:tcPr>
            <w:tcW w:type="dxa" w:w="4320"/>
          </w:tcPr>
          <w:p>
            <w:r>
              <w:t>GeneralSplitter</w:t>
            </w:r>
          </w:p>
        </w:tc>
      </w:tr>
      <w:tr>
        <w:tc>
          <w:tcPr>
            <w:tcW w:type="dxa" w:w="4320"/>
          </w:tcPr>
          <w:p>
            <w:r>
              <w:t>Time Out</w:t>
            </w:r>
          </w:p>
        </w:tc>
        <w:tc>
          <w:tcPr>
            <w:tcW w:type="dxa" w:w="4320"/>
          </w:tcPr>
          <w:p>
            <w:r>
              <w:t>300</w:t>
            </w:r>
          </w:p>
        </w:tc>
      </w:tr>
    </w:tbl>
    <w:p>
      <w:pPr>
        <w:pStyle w:val="Heading3"/>
      </w:pPr>
      <w:r>
        <w:t>callActivity Message Mapping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Mappinguri</w:t>
            </w:r>
          </w:p>
        </w:tc>
        <w:tc>
          <w:tcPr>
            <w:tcW w:type="dxa" w:w="4320"/>
          </w:tcPr>
          <w:p>
            <w:r>
              <w:t>dir://mmap/src/main/resources/mapping/Bulk2.mmap</w:t>
            </w:r>
          </w:p>
        </w:tc>
      </w:tr>
      <w:tr>
        <w:tc>
          <w:tcPr>
            <w:tcW w:type="dxa" w:w="4320"/>
          </w:tcPr>
          <w:p>
            <w:r>
              <w:t>Mappingname</w:t>
            </w:r>
          </w:p>
        </w:tc>
        <w:tc>
          <w:tcPr>
            <w:tcW w:type="dxa" w:w="4320"/>
          </w:tcPr>
          <w:p>
            <w:r>
              <w:t>Bulk2</w:t>
            </w:r>
          </w:p>
        </w:tc>
      </w:tr>
      <w:tr>
        <w:tc>
          <w:tcPr>
            <w:tcW w:type="dxa" w:w="4320"/>
          </w:tcPr>
          <w:p>
            <w:r>
              <w:t>Mapping Source Value</w:t>
            </w:r>
          </w:p>
        </w:tc>
        <w:tc>
          <w:tcPr>
            <w:tcW w:type="dxa" w:w="4320"/>
          </w:tcPr>
          <w:p>
            <w:r/>
          </w:p>
        </w:tc>
      </w:tr>
      <w:tr>
        <w:tc>
          <w:tcPr>
            <w:tcW w:type="dxa" w:w="4320"/>
          </w:tcPr>
          <w:p>
            <w:r>
              <w:t>Mapping Type</w:t>
            </w:r>
          </w:p>
        </w:tc>
        <w:tc>
          <w:tcPr>
            <w:tcW w:type="dxa" w:w="4320"/>
          </w:tcPr>
          <w:p>
            <w:r>
              <w:t>MessageMapping</w:t>
            </w:r>
          </w:p>
        </w:tc>
      </w:tr>
      <w:tr>
        <w:tc>
          <w:tcPr>
            <w:tcW w:type="dxa" w:w="4320"/>
          </w:tcPr>
          <w:p>
            <w:r>
              <w:t>Mapping Reference</w:t>
            </w:r>
          </w:p>
        </w:tc>
        <w:tc>
          <w:tcPr>
            <w:tcW w:type="dxa" w:w="4320"/>
          </w:tcPr>
          <w:p>
            <w:r>
              <w:t>static</w:t>
            </w:r>
          </w:p>
        </w:tc>
      </w:tr>
      <w:tr>
        <w:tc>
          <w:tcPr>
            <w:tcW w:type="dxa" w:w="4320"/>
          </w:tcPr>
          <w:p>
            <w:r>
              <w:t>Mappingpath</w:t>
            </w:r>
          </w:p>
        </w:tc>
        <w:tc>
          <w:tcPr>
            <w:tcW w:type="dxa" w:w="4320"/>
          </w:tcPr>
          <w:p>
            <w:r>
              <w:t>src/main/resources/mapping/Bulk2</w:t>
            </w:r>
          </w:p>
        </w:tc>
      </w:tr>
      <w:tr>
        <w:tc>
          <w:tcPr>
            <w:tcW w:type="dxa" w:w="4320"/>
          </w:tcPr>
          <w:p>
            <w:r>
              <w:t>Component Version</w:t>
            </w:r>
          </w:p>
        </w:tc>
        <w:tc>
          <w:tcPr>
            <w:tcW w:type="dxa" w:w="4320"/>
          </w:tcPr>
          <w:p>
            <w:r>
              <w:t>1.3</w:t>
            </w:r>
          </w:p>
        </w:tc>
      </w:tr>
      <w:tr>
        <w:tc>
          <w:tcPr>
            <w:tcW w:type="dxa" w:w="4320"/>
          </w:tcPr>
          <w:p>
            <w:r>
              <w:t>Activity Type</w:t>
            </w:r>
          </w:p>
        </w:tc>
        <w:tc>
          <w:tcPr>
            <w:tcW w:type="dxa" w:w="4320"/>
          </w:tcPr>
          <w:p>
            <w:r>
              <w:t>Mapping</w:t>
            </w:r>
          </w:p>
        </w:tc>
      </w:tr>
      <w:tr>
        <w:tc>
          <w:tcPr>
            <w:tcW w:type="dxa" w:w="4320"/>
          </w:tcPr>
          <w:p>
            <w:r>
              <w:t>Cmd Variant Uri</w:t>
            </w:r>
          </w:p>
        </w:tc>
        <w:tc>
          <w:tcPr>
            <w:tcW w:type="dxa" w:w="4320"/>
          </w:tcPr>
          <w:p>
            <w:r>
              <w:t>ctype::FlowstepVariant/cname::MessageMapping/version::1.3.1</w:t>
            </w:r>
          </w:p>
        </w:tc>
      </w:tr>
      <w:tr>
        <w:tc>
          <w:tcPr>
            <w:tcW w:type="dxa" w:w="4320"/>
          </w:tcPr>
          <w:p>
            <w:r>
              <w:t>Message Mapping Bundle Id</w:t>
            </w:r>
          </w:p>
        </w:tc>
        <w:tc>
          <w:tcPr>
            <w:tcW w:type="dxa" w:w="4320"/>
          </w:tcPr>
          <w:p>
            <w:r/>
          </w:p>
        </w:tc>
      </w:tr>
    </w:tbl>
    <w:p>
      <w:pPr>
        <w:pStyle w:val="Heading3"/>
      </w:pPr>
      <w:r>
        <w:t>callActivity Write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Visibility</w:t>
            </w:r>
          </w:p>
        </w:tc>
        <w:tc>
          <w:tcPr>
            <w:tcW w:type="dxa" w:w="4320"/>
          </w:tcPr>
          <w:p>
            <w:r>
              <w:t>global</w:t>
            </w:r>
          </w:p>
        </w:tc>
      </w:tr>
      <w:tr>
        <w:tc>
          <w:tcPr>
            <w:tcW w:type="dxa" w:w="4320"/>
          </w:tcPr>
          <w:p>
            <w:r>
              <w:t>Alert</w:t>
            </w:r>
          </w:p>
        </w:tc>
        <w:tc>
          <w:tcPr>
            <w:tcW w:type="dxa" w:w="4320"/>
          </w:tcPr>
          <w:p>
            <w:r>
              <w:t>2</w:t>
            </w:r>
          </w:p>
        </w:tc>
      </w:tr>
      <w:tr>
        <w:tc>
          <w:tcPr>
            <w:tcW w:type="dxa" w:w="4320"/>
          </w:tcPr>
          <w:p>
            <w:r>
              <w:t>Encrypt</w:t>
            </w:r>
          </w:p>
        </w:tc>
        <w:tc>
          <w:tcPr>
            <w:tcW w:type="dxa" w:w="4320"/>
          </w:tcPr>
          <w:p>
            <w:r>
              <w:t>true</w:t>
            </w:r>
          </w:p>
        </w:tc>
      </w:tr>
      <w:tr>
        <w:tc>
          <w:tcPr>
            <w:tcW w:type="dxa" w:w="4320"/>
          </w:tcPr>
          <w:p>
            <w:r>
              <w:t>Expire</w:t>
            </w:r>
          </w:p>
        </w:tc>
        <w:tc>
          <w:tcPr>
            <w:tcW w:type="dxa" w:w="4320"/>
          </w:tcPr>
          <w:p>
            <w:r>
              <w:t>30</w:t>
            </w:r>
          </w:p>
        </w:tc>
      </w:tr>
      <w:tr>
        <w:tc>
          <w:tcPr>
            <w:tcW w:type="dxa" w:w="4320"/>
          </w:tcPr>
          <w:p>
            <w:r>
              <w:t>Message Id</w:t>
            </w:r>
          </w:p>
        </w:tc>
        <w:tc>
          <w:tcPr>
            <w:tcW w:type="dxa" w:w="4320"/>
          </w:tcPr>
          <w:p>
            <w:r>
              <w:t>Post_BO_SV</w:t>
            </w:r>
          </w:p>
        </w:tc>
      </w:tr>
      <w:tr>
        <w:tc>
          <w:tcPr>
            <w:tcW w:type="dxa" w:w="4320"/>
          </w:tcPr>
          <w:p>
            <w:r>
              <w:t>Component Version</w:t>
            </w:r>
          </w:p>
        </w:tc>
        <w:tc>
          <w:tcPr>
            <w:tcW w:type="dxa" w:w="4320"/>
          </w:tcPr>
          <w:p>
            <w:r>
              <w:t>1.7</w:t>
            </w:r>
          </w:p>
        </w:tc>
      </w:tr>
      <w:tr>
        <w:tc>
          <w:tcPr>
            <w:tcW w:type="dxa" w:w="4320"/>
          </w:tcPr>
          <w:p>
            <w:r>
              <w:t>Override</w:t>
            </w:r>
          </w:p>
        </w:tc>
        <w:tc>
          <w:tcPr>
            <w:tcW w:type="dxa" w:w="4320"/>
          </w:tcPr>
          <w:p>
            <w:r>
              <w:t>true</w:t>
            </w:r>
          </w:p>
        </w:tc>
      </w:tr>
      <w:tr>
        <w:tc>
          <w:tcPr>
            <w:tcW w:type="dxa" w:w="4320"/>
          </w:tcPr>
          <w:p>
            <w:r>
              <w:t>Activity Type</w:t>
            </w:r>
          </w:p>
        </w:tc>
        <w:tc>
          <w:tcPr>
            <w:tcW w:type="dxa" w:w="4320"/>
          </w:tcPr>
          <w:p>
            <w:r>
              <w:t>DBstorage</w:t>
            </w:r>
          </w:p>
        </w:tc>
      </w:tr>
      <w:tr>
        <w:tc>
          <w:tcPr>
            <w:tcW w:type="dxa" w:w="4320"/>
          </w:tcPr>
          <w:p>
            <w:r>
              <w:t>Cmd Variant Uri</w:t>
            </w:r>
          </w:p>
        </w:tc>
        <w:tc>
          <w:tcPr>
            <w:tcW w:type="dxa" w:w="4320"/>
          </w:tcPr>
          <w:p>
            <w:r>
              <w:t>ctype::FlowstepVariant/cname::put/version::1.7.1</w:t>
            </w:r>
          </w:p>
        </w:tc>
      </w:tr>
      <w:tr>
        <w:tc>
          <w:tcPr>
            <w:tcW w:type="dxa" w:w="4320"/>
          </w:tcPr>
          <w:p>
            <w:r>
              <w:t>Operation</w:t>
            </w:r>
          </w:p>
        </w:tc>
        <w:tc>
          <w:tcPr>
            <w:tcW w:type="dxa" w:w="4320"/>
          </w:tcPr>
          <w:p>
            <w:r>
              <w:t>put</w:t>
            </w:r>
          </w:p>
        </w:tc>
      </w:tr>
      <w:tr>
        <w:tc>
          <w:tcPr>
            <w:tcW w:type="dxa" w:w="4320"/>
          </w:tcPr>
          <w:p>
            <w:r>
              <w:t>Storage Name</w:t>
            </w:r>
          </w:p>
        </w:tc>
        <w:tc>
          <w:tcPr>
            <w:tcW w:type="dxa" w:w="4320"/>
          </w:tcPr>
          <w:p>
            <w:r>
              <w:t>Post_BO_SV</w:t>
            </w:r>
          </w:p>
        </w:tc>
      </w:tr>
      <w:tr>
        <w:tc>
          <w:tcPr>
            <w:tcW w:type="dxa" w:w="4320"/>
          </w:tcPr>
          <w:p>
            <w:r>
              <w:t>Include Message Headers</w:t>
            </w:r>
          </w:p>
        </w:tc>
        <w:tc>
          <w:tcPr>
            <w:tcW w:type="dxa" w:w="4320"/>
          </w:tcPr>
          <w:p>
            <w:r>
              <w:t>false</w:t>
            </w:r>
          </w:p>
        </w:tc>
      </w:tr>
    </w:tbl>
    <w:p>
      <w:pPr>
        <w:pStyle w:val="Heading3"/>
      </w:pPr>
      <w:r>
        <w:t>sequenceFlow Route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Expression Type</w:t>
            </w:r>
          </w:p>
        </w:tc>
        <w:tc>
          <w:tcPr>
            <w:tcW w:type="dxa" w:w="4320"/>
          </w:tcPr>
          <w:p>
            <w:r>
              <w:t>XML</w:t>
            </w:r>
          </w:p>
        </w:tc>
      </w:tr>
      <w:tr>
        <w:tc>
          <w:tcPr>
            <w:tcW w:type="dxa" w:w="4320"/>
          </w:tcPr>
          <w:p>
            <w:r>
              <w:t>Component Version</w:t>
            </w:r>
          </w:p>
        </w:tc>
        <w:tc>
          <w:tcPr>
            <w:tcW w:type="dxa" w:w="4320"/>
          </w:tcPr>
          <w:p>
            <w:r>
              <w:t>1.0</w:t>
            </w:r>
          </w:p>
        </w:tc>
      </w:tr>
      <w:tr>
        <w:tc>
          <w:tcPr>
            <w:tcW w:type="dxa" w:w="4320"/>
          </w:tcPr>
          <w:p>
            <w:r>
              <w:t>Cmd Variant Uri</w:t>
            </w:r>
          </w:p>
        </w:tc>
        <w:tc>
          <w:tcPr>
            <w:tcW w:type="dxa" w:w="4320"/>
          </w:tcPr>
          <w:p>
            <w:r>
              <w:t>ctype::FlowstepVariant/cname::GatewayRoute/version::1.0.0</w:t>
            </w:r>
          </w:p>
        </w:tc>
      </w:tr>
    </w:tbl>
    <w:p>
      <w:pPr>
        <w:pStyle w:val="Heading3"/>
      </w:pPr>
      <w:r>
        <w:t>sequenceFlow Route 2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Expression Type</w:t>
            </w:r>
          </w:p>
        </w:tc>
        <w:tc>
          <w:tcPr>
            <w:tcW w:type="dxa" w:w="4320"/>
          </w:tcPr>
          <w:p>
            <w:r>
              <w:t>XML</w:t>
            </w:r>
          </w:p>
        </w:tc>
      </w:tr>
      <w:tr>
        <w:tc>
          <w:tcPr>
            <w:tcW w:type="dxa" w:w="4320"/>
          </w:tcPr>
          <w:p>
            <w:r>
              <w:t>Component Version</w:t>
            </w:r>
          </w:p>
        </w:tc>
        <w:tc>
          <w:tcPr>
            <w:tcW w:type="dxa" w:w="4320"/>
          </w:tcPr>
          <w:p>
            <w:r>
              <w:t>1.0</w:t>
            </w:r>
          </w:p>
        </w:tc>
      </w:tr>
      <w:tr>
        <w:tc>
          <w:tcPr>
            <w:tcW w:type="dxa" w:w="4320"/>
          </w:tcPr>
          <w:p>
            <w:r>
              <w:t>Cmd Variant Uri</w:t>
            </w:r>
          </w:p>
        </w:tc>
        <w:tc>
          <w:tcPr>
            <w:tcW w:type="dxa" w:w="4320"/>
          </w:tcPr>
          <w:p>
            <w:r>
              <w:t>ctype::FlowstepVariant/cname::GatewayRoute/version::1.0.0</w:t>
            </w:r>
          </w:p>
        </w:tc>
      </w:tr>
    </w:tbl>
    <w:p>
      <w:pPr>
        <w:pStyle w:val="Heading2"/>
      </w:pPr>
      <w:r>
        <w:t xml:space="preserve">5.2. Local Integration Process </w:t>
      </w:r>
    </w:p>
    <w:p>
      <w:r>
        <w:rPr>
          <w:b w:val="0"/>
          <w:i w:val="0"/>
          <w:sz w:val="24"/>
        </w:rPr>
        <w:t>Okay, provide the XML. I need the XML to give you the summary you requested. Once you provide the XML, I will analyze the Main Integration Process section (and its children) for the iFlow Process_1, and provide a concise, technically-oriented summary in approximately 5 sentences.</w:t>
        <w:br/>
      </w:r>
    </w:p>
    <w:p>
      <w:r>
        <w:rPr>
          <w:b w:val="0"/>
          <w:i w:val="0"/>
          <w:sz w:val="24"/>
        </w:rPr>
        <w:t>No process with id='Process_1' found.</w:t>
      </w:r>
    </w:p>
    <w:p>
      <w:pPr>
        <w:pStyle w:val="Heading2"/>
      </w:pPr>
      <w:r>
        <w:t>5.3. Sender</w:t>
      </w:r>
    </w:p>
    <w:p>
      <w:r>
        <w:rPr>
          <w:b w:val="0"/>
          <w:i w:val="0"/>
          <w:sz w:val="24"/>
        </w:rPr>
        <w:t>The Sender section of this SAP iFlow utilizes an HTTPS sender adapter to receive inbound messages. The sender system, identified as "Sender", communicates via the HTTPS protocol on URL path `/post_bulk/order_sv` and has a message protocol set to None. Authentication is Role-Based, requiring the "ESBMessaging.send" user role.  The maximum body size is configured for 40 bytes, and XSRF protection is disabled (set to 0).</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 Type</w:t>
            </w:r>
          </w:p>
        </w:tc>
        <w:tc>
          <w:tcPr>
            <w:tcW w:type="dxa" w:w="4320"/>
          </w:tcPr>
          <w:p>
            <w:r>
              <w:t>HTTPS</w:t>
            </w:r>
          </w:p>
        </w:tc>
      </w:tr>
      <w:tr>
        <w:tc>
          <w:tcPr>
            <w:tcW w:type="dxa" w:w="4320"/>
          </w:tcPr>
          <w:p>
            <w:r>
              <w:t>Description</w:t>
            </w:r>
          </w:p>
        </w:tc>
        <w:tc>
          <w:tcPr>
            <w:tcW w:type="dxa" w:w="4320"/>
          </w:tcPr>
          <w:p>
            <w:r/>
          </w:p>
        </w:tc>
      </w:tr>
      <w:tr>
        <w:tc>
          <w:tcPr>
            <w:tcW w:type="dxa" w:w="4320"/>
          </w:tcPr>
          <w:p>
            <w:r>
              <w:t>Maximum Body Size</w:t>
            </w:r>
          </w:p>
        </w:tc>
        <w:tc>
          <w:tcPr>
            <w:tcW w:type="dxa" w:w="4320"/>
          </w:tcPr>
          <w:p>
            <w:r>
              <w:t>40</w:t>
            </w:r>
          </w:p>
        </w:tc>
      </w:tr>
      <w:tr>
        <w:tc>
          <w:tcPr>
            <w:tcW w:type="dxa" w:w="4320"/>
          </w:tcPr>
          <w:p>
            <w:r>
              <w:t>Component N S</w:t>
            </w:r>
          </w:p>
        </w:tc>
        <w:tc>
          <w:tcPr>
            <w:tcW w:type="dxa" w:w="4320"/>
          </w:tcPr>
          <w:p>
            <w:r>
              <w:t>sap</w:t>
            </w:r>
          </w:p>
        </w:tc>
      </w:tr>
      <w:tr>
        <w:tc>
          <w:tcPr>
            <w:tcW w:type="dxa" w:w="4320"/>
          </w:tcPr>
          <w:p>
            <w:r>
              <w:t>Component Version</w:t>
            </w:r>
          </w:p>
        </w:tc>
        <w:tc>
          <w:tcPr>
            <w:tcW w:type="dxa" w:w="4320"/>
          </w:tcPr>
          <w:p>
            <w:r>
              <w:t>1.5</w:t>
            </w:r>
          </w:p>
        </w:tc>
      </w:tr>
      <w:tr>
        <w:tc>
          <w:tcPr>
            <w:tcW w:type="dxa" w:w="4320"/>
          </w:tcPr>
          <w:p>
            <w:r>
              <w:t>Url Path</w:t>
            </w:r>
          </w:p>
        </w:tc>
        <w:tc>
          <w:tcPr>
            <w:tcW w:type="dxa" w:w="4320"/>
          </w:tcPr>
          <w:p>
            <w:r>
              <w:t>/post_bulk/order_sv</w:t>
            </w:r>
          </w:p>
        </w:tc>
      </w:tr>
      <w:tr>
        <w:tc>
          <w:tcPr>
            <w:tcW w:type="dxa" w:w="4320"/>
          </w:tcPr>
          <w:p>
            <w:r>
              <w:t>Name</w:t>
            </w:r>
          </w:p>
        </w:tc>
        <w:tc>
          <w:tcPr>
            <w:tcW w:type="dxa" w:w="4320"/>
          </w:tcPr>
          <w:p>
            <w:r>
              <w:t>HTTPS</w:t>
            </w:r>
          </w:p>
        </w:tc>
      </w:tr>
      <w:tr>
        <w:tc>
          <w:tcPr>
            <w:tcW w:type="dxa" w:w="4320"/>
          </w:tcPr>
          <w:p>
            <w:r>
              <w:t>Transport Protocol Version</w:t>
            </w:r>
          </w:p>
        </w:tc>
        <w:tc>
          <w:tcPr>
            <w:tcW w:type="dxa" w:w="4320"/>
          </w:tcPr>
          <w:p>
            <w:r>
              <w:t>1.5.2</w:t>
            </w:r>
          </w:p>
        </w:tc>
      </w:tr>
      <w:tr>
        <w:tc>
          <w:tcPr>
            <w:tcW w:type="dxa" w:w="4320"/>
          </w:tcPr>
          <w:p>
            <w:r>
              <w:t>Component S W C V Name</w:t>
            </w:r>
          </w:p>
        </w:tc>
        <w:tc>
          <w:tcPr>
            <w:tcW w:type="dxa" w:w="4320"/>
          </w:tcPr>
          <w:p>
            <w:r>
              <w:t>external</w:t>
            </w:r>
          </w:p>
        </w:tc>
      </w:tr>
      <w:tr>
        <w:tc>
          <w:tcPr>
            <w:tcW w:type="dxa" w:w="4320"/>
          </w:tcPr>
          <w:p>
            <w:r>
              <w:t>System</w:t>
            </w:r>
          </w:p>
        </w:tc>
        <w:tc>
          <w:tcPr>
            <w:tcW w:type="dxa" w:w="4320"/>
          </w:tcPr>
          <w:p>
            <w:r>
              <w:t>Sender</w:t>
            </w:r>
          </w:p>
        </w:tc>
      </w:tr>
      <w:tr>
        <w:tc>
          <w:tcPr>
            <w:tcW w:type="dxa" w:w="4320"/>
          </w:tcPr>
          <w:p>
            <w:r>
              <w:t>Xsrf Protection</w:t>
            </w:r>
          </w:p>
        </w:tc>
        <w:tc>
          <w:tcPr>
            <w:tcW w:type="dxa" w:w="4320"/>
          </w:tcPr>
          <w:p>
            <w:r>
              <w:t>0</w:t>
            </w:r>
          </w:p>
        </w:tc>
      </w:tr>
      <w:tr>
        <w:tc>
          <w:tcPr>
            <w:tcW w:type="dxa" w:w="4320"/>
          </w:tcPr>
          <w:p>
            <w:r>
              <w:t>Transport Protocol</w:t>
            </w:r>
          </w:p>
        </w:tc>
        <w:tc>
          <w:tcPr>
            <w:tcW w:type="dxa" w:w="4320"/>
          </w:tcPr>
          <w:p>
            <w:r>
              <w:t>HTTPS</w:t>
            </w:r>
          </w:p>
        </w:tc>
      </w:tr>
      <w:tr>
        <w:tc>
          <w:tcPr>
            <w:tcW w:type="dxa" w:w="4320"/>
          </w:tcPr>
          <w:p>
            <w:r>
              <w:t>Cmd Variant Uri</w:t>
            </w:r>
          </w:p>
        </w:tc>
        <w:tc>
          <w:tcPr>
            <w:tcW w:type="dxa" w:w="4320"/>
          </w:tcPr>
          <w:p>
            <w:r>
              <w:t>ctype::AdapterVariant/cname::sap:HTTPS/tp::HTTPS/mp::None/direction::Sender/version::1.5.2</w:t>
            </w:r>
          </w:p>
        </w:tc>
      </w:tr>
      <w:tr>
        <w:tc>
          <w:tcPr>
            <w:tcW w:type="dxa" w:w="4320"/>
          </w:tcPr>
          <w:p>
            <w:r>
              <w:t>User Role</w:t>
            </w:r>
          </w:p>
        </w:tc>
        <w:tc>
          <w:tcPr>
            <w:tcW w:type="dxa" w:w="4320"/>
          </w:tcPr>
          <w:p>
            <w:r>
              <w:t>ESBMessaging.send</w:t>
            </w:r>
          </w:p>
        </w:tc>
      </w:tr>
      <w:tr>
        <w:tc>
          <w:tcPr>
            <w:tcW w:type="dxa" w:w="4320"/>
          </w:tcPr>
          <w:p>
            <w:r>
              <w:t>Sender Auth Type</w:t>
            </w:r>
          </w:p>
        </w:tc>
        <w:tc>
          <w:tcPr>
            <w:tcW w:type="dxa" w:w="4320"/>
          </w:tcPr>
          <w:p>
            <w:r>
              <w:t>RoleBased</w:t>
            </w:r>
          </w:p>
        </w:tc>
      </w:tr>
      <w:tr>
        <w:tc>
          <w:tcPr>
            <w:tcW w:type="dxa" w:w="4320"/>
          </w:tcPr>
          <w:p>
            <w:r>
              <w:t>Message Protocol</w:t>
            </w:r>
          </w:p>
        </w:tc>
        <w:tc>
          <w:tcPr>
            <w:tcW w:type="dxa" w:w="4320"/>
          </w:tcPr>
          <w:p>
            <w:r>
              <w:t>None</w:t>
            </w:r>
          </w:p>
        </w:tc>
      </w:tr>
      <w:tr>
        <w:tc>
          <w:tcPr>
            <w:tcW w:type="dxa" w:w="4320"/>
          </w:tcPr>
          <w:p>
            <w:r>
              <w:t>Message Protocol Version</w:t>
            </w:r>
          </w:p>
        </w:tc>
        <w:tc>
          <w:tcPr>
            <w:tcW w:type="dxa" w:w="4320"/>
          </w:tcPr>
          <w:p>
            <w:r>
              <w:t>1.5.2</w:t>
            </w:r>
          </w:p>
        </w:tc>
      </w:tr>
      <w:tr>
        <w:tc>
          <w:tcPr>
            <w:tcW w:type="dxa" w:w="4320"/>
          </w:tcPr>
          <w:p>
            <w:r>
              <w:t>Component S W C V Id</w:t>
            </w:r>
          </w:p>
        </w:tc>
        <w:tc>
          <w:tcPr>
            <w:tcW w:type="dxa" w:w="4320"/>
          </w:tcPr>
          <w:p>
            <w:r>
              <w:t>1.5.2</w:t>
            </w:r>
          </w:p>
        </w:tc>
      </w:tr>
      <w:tr>
        <w:tc>
          <w:tcPr>
            <w:tcW w:type="dxa" w:w="4320"/>
          </w:tcPr>
          <w:p>
            <w:r>
              <w:t>Direction</w:t>
            </w:r>
          </w:p>
        </w:tc>
        <w:tc>
          <w:tcPr>
            <w:tcW w:type="dxa" w:w="4320"/>
          </w:tcPr>
          <w:p>
            <w:r>
              <w:t>Sender</w:t>
            </w:r>
          </w:p>
        </w:tc>
      </w:tr>
      <w:tr>
        <w:tc>
          <w:tcPr>
            <w:tcW w:type="dxa" w:w="4320"/>
          </w:tcPr>
          <w:p>
            <w:r>
              <w:t>Client Certificates</w:t>
            </w:r>
          </w:p>
        </w:tc>
        <w:tc>
          <w:tcPr>
            <w:tcW w:type="dxa" w:w="4320"/>
          </w:tcPr>
          <w:p>
            <w:r/>
          </w:p>
        </w:tc>
      </w:tr>
    </w:tbl>
    <w:p>
      <w:pPr>
        <w:pStyle w:val="Heading2"/>
      </w:pPr>
      <w:r>
        <w:t>5.4. Receiver</w:t>
      </w:r>
    </w:p>
    <w:p>
      <w:r>
        <w:rPr>
          <w:b w:val="0"/>
          <w:i w:val="0"/>
          <w:sz w:val="24"/>
        </w:rPr>
        <w:t>The receiver channel is configured as an OData V2 adapter (Component Type: HCIOData) named "OData" using HTTP transport. It connects to `http://sentrydev:44300/sap/opu/odata/sap/API_SALES_CONTRACT_SRV` to create Sales Contract data using the OData service `A_SalesContract`. Basic Authentication is used for connecting using credentials alias `UST_S4_Cred`. The adapter uses sapcc proxy with TLS Session Reuse enabled, and accepts `application/atom+xml` content type. Fields included in this process are `SalesContract,SalesContractType,SalesOrganization,DistributionChannel,SalesContractValidityStartDate,SalesContractValidityEndDate,SalesContractValidityPerdUnit,CustomerPurchaseOrderType,OrganizationDivision,SoldToParty,CustomerPurchaseOrderDate,PurchaseOrderByCustomer,to_Item/SalesContractItem,to_Item/SalesContract,to_Item/Material,to_Item/RequestedQuantity`.</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Description</w:t>
            </w:r>
          </w:p>
        </w:tc>
        <w:tc>
          <w:tcPr>
            <w:tcW w:type="dxa" w:w="4320"/>
          </w:tcPr>
          <w:p>
            <w:r/>
          </w:p>
        </w:tc>
      </w:tr>
      <w:tr>
        <w:tc>
          <w:tcPr>
            <w:tcW w:type="dxa" w:w="4320"/>
          </w:tcPr>
          <w:p>
            <w:r>
              <w:t>Pagination</w:t>
            </w:r>
          </w:p>
        </w:tc>
        <w:tc>
          <w:tcPr>
            <w:tcW w:type="dxa" w:w="4320"/>
          </w:tcPr>
          <w:p>
            <w:r>
              <w:t>0</w:t>
            </w:r>
          </w:p>
        </w:tc>
      </w:tr>
      <w:tr>
        <w:tc>
          <w:tcPr>
            <w:tcW w:type="dxa" w:w="4320"/>
          </w:tcPr>
          <w:p>
            <w:r>
              <w:t>Odata Cert Auth Private Key Alias</w:t>
            </w:r>
          </w:p>
        </w:tc>
        <w:tc>
          <w:tcPr>
            <w:tcW w:type="dxa" w:w="4320"/>
          </w:tcPr>
          <w:p>
            <w:r/>
          </w:p>
        </w:tc>
      </w:tr>
      <w:tr>
        <w:tc>
          <w:tcPr>
            <w:tcW w:type="dxa" w:w="4320"/>
          </w:tcPr>
          <w:p>
            <w:r>
              <w:t>Api Artifact Type</w:t>
            </w:r>
          </w:p>
        </w:tc>
        <w:tc>
          <w:tcPr>
            <w:tcW w:type="dxa" w:w="4320"/>
          </w:tcPr>
          <w:p>
            <w:r/>
          </w:p>
        </w:tc>
      </w:tr>
      <w:tr>
        <w:tc>
          <w:tcPr>
            <w:tcW w:type="dxa" w:w="4320"/>
          </w:tcPr>
          <w:p>
            <w:r>
              <w:t>Provider Auth</w:t>
            </w:r>
          </w:p>
        </w:tc>
        <w:tc>
          <w:tcPr>
            <w:tcW w:type="dxa" w:w="4320"/>
          </w:tcPr>
          <w:p>
            <w:r/>
          </w:p>
        </w:tc>
      </w:tr>
      <w:tr>
        <w:tc>
          <w:tcPr>
            <w:tcW w:type="dxa" w:w="4320"/>
          </w:tcPr>
          <w:p>
            <w:r>
              <w:t>Component N S</w:t>
            </w:r>
          </w:p>
        </w:tc>
        <w:tc>
          <w:tcPr>
            <w:tcW w:type="dxa" w:w="4320"/>
          </w:tcPr>
          <w:p>
            <w:r>
              <w:t>sap</w:t>
            </w:r>
          </w:p>
        </w:tc>
      </w:tr>
      <w:tr>
        <w:tc>
          <w:tcPr>
            <w:tcW w:type="dxa" w:w="4320"/>
          </w:tcPr>
          <w:p>
            <w:r>
              <w:t>Resource Path</w:t>
            </w:r>
          </w:p>
        </w:tc>
        <w:tc>
          <w:tcPr>
            <w:tcW w:type="dxa" w:w="4320"/>
          </w:tcPr>
          <w:p>
            <w:r>
              <w:t>A_SalesContract</w:t>
            </w:r>
          </w:p>
        </w:tc>
      </w:tr>
      <w:tr>
        <w:tc>
          <w:tcPr>
            <w:tcW w:type="dxa" w:w="4320"/>
          </w:tcPr>
          <w:p>
            <w:r>
              <w:t>Custom Query Options</w:t>
            </w:r>
          </w:p>
        </w:tc>
        <w:tc>
          <w:tcPr>
            <w:tcW w:type="dxa" w:w="4320"/>
          </w:tcPr>
          <w:p>
            <w:r/>
          </w:p>
        </w:tc>
      </w:tr>
      <w:tr>
        <w:tc>
          <w:tcPr>
            <w:tcW w:type="dxa" w:w="4320"/>
          </w:tcPr>
          <w:p>
            <w:r>
              <w:t>Metadata Allowed U R I Params</w:t>
            </w:r>
          </w:p>
        </w:tc>
        <w:tc>
          <w:tcPr>
            <w:tcW w:type="dxa" w:w="4320"/>
          </w:tcPr>
          <w:p>
            <w:r/>
          </w:p>
        </w:tc>
      </w:tr>
      <w:tr>
        <w:tc>
          <w:tcPr>
            <w:tcW w:type="dxa" w:w="4320"/>
          </w:tcPr>
          <w:p>
            <w:r>
              <w:t>Name</w:t>
            </w:r>
          </w:p>
        </w:tc>
        <w:tc>
          <w:tcPr>
            <w:tcW w:type="dxa" w:w="4320"/>
          </w:tcPr>
          <w:p>
            <w:r>
              <w:t>OData</w:t>
            </w:r>
          </w:p>
        </w:tc>
      </w:tr>
      <w:tr>
        <w:tc>
          <w:tcPr>
            <w:tcW w:type="dxa" w:w="4320"/>
          </w:tcPr>
          <w:p>
            <w:r>
              <w:t>Internet Proxy Type</w:t>
            </w:r>
          </w:p>
        </w:tc>
        <w:tc>
          <w:tcPr>
            <w:tcW w:type="dxa" w:w="4320"/>
          </w:tcPr>
          <w:p>
            <w:r/>
          </w:p>
        </w:tc>
      </w:tr>
      <w:tr>
        <w:tc>
          <w:tcPr>
            <w:tcW w:type="dxa" w:w="4320"/>
          </w:tcPr>
          <w:p>
            <w:r>
              <w:t>Transport Protocol Version</w:t>
            </w:r>
          </w:p>
        </w:tc>
        <w:tc>
          <w:tcPr>
            <w:tcW w:type="dxa" w:w="4320"/>
          </w:tcPr>
          <w:p>
            <w:r>
              <w:t>1.25.0</w:t>
            </w:r>
          </w:p>
        </w:tc>
      </w:tr>
      <w:tr>
        <w:tc>
          <w:tcPr>
            <w:tcW w:type="dxa" w:w="4320"/>
          </w:tcPr>
          <w:p>
            <w:r>
              <w:t>Proxy Port</w:t>
            </w:r>
          </w:p>
        </w:tc>
        <w:tc>
          <w:tcPr>
            <w:tcW w:type="dxa" w:w="4320"/>
          </w:tcPr>
          <w:p>
            <w:r/>
          </w:p>
        </w:tc>
      </w:tr>
      <w:tr>
        <w:tc>
          <w:tcPr>
            <w:tcW w:type="dxa" w:w="4320"/>
          </w:tcPr>
          <w:p>
            <w:r>
              <w:t>Component S W C V Name</w:t>
            </w:r>
          </w:p>
        </w:tc>
        <w:tc>
          <w:tcPr>
            <w:tcW w:type="dxa" w:w="4320"/>
          </w:tcPr>
          <w:p>
            <w:r>
              <w:t>external</w:t>
            </w:r>
          </w:p>
        </w:tc>
      </w:tr>
      <w:tr>
        <w:tc>
          <w:tcPr>
            <w:tcW w:type="dxa" w:w="4320"/>
          </w:tcPr>
          <w:p>
            <w:r>
              <w:t>Enable M P L Attachments</w:t>
            </w:r>
          </w:p>
        </w:tc>
        <w:tc>
          <w:tcPr>
            <w:tcW w:type="dxa" w:w="4320"/>
          </w:tcPr>
          <w:p>
            <w:r>
              <w:t>true</w:t>
            </w:r>
          </w:p>
        </w:tc>
      </w:tr>
      <w:tr>
        <w:tc>
          <w:tcPr>
            <w:tcW w:type="dxa" w:w="4320"/>
          </w:tcPr>
          <w:p>
            <w:r>
              <w:t>Receive Time Out</w:t>
            </w:r>
          </w:p>
        </w:tc>
        <w:tc>
          <w:tcPr>
            <w:tcW w:type="dxa" w:w="4320"/>
          </w:tcPr>
          <w:p>
            <w:r>
              <w:t>1</w:t>
            </w:r>
          </w:p>
        </w:tc>
      </w:tr>
      <w:tr>
        <w:tc>
          <w:tcPr>
            <w:tcW w:type="dxa" w:w="4320"/>
          </w:tcPr>
          <w:p>
            <w:r>
              <w:t>Alias</w:t>
            </w:r>
          </w:p>
        </w:tc>
        <w:tc>
          <w:tcPr>
            <w:tcW w:type="dxa" w:w="4320"/>
          </w:tcPr>
          <w:p>
            <w:r>
              <w:t>UST_S4_Cred</w:t>
            </w:r>
          </w:p>
        </w:tc>
      </w:tr>
      <w:tr>
        <w:tc>
          <w:tcPr>
            <w:tcW w:type="dxa" w:w="4320"/>
          </w:tcPr>
          <w:p>
            <w:r>
              <w:t>Content Type</w:t>
            </w:r>
          </w:p>
        </w:tc>
        <w:tc>
          <w:tcPr>
            <w:tcW w:type="dxa" w:w="4320"/>
          </w:tcPr>
          <w:p>
            <w:r>
              <w:t>application/atom+xml</w:t>
            </w:r>
          </w:p>
        </w:tc>
      </w:tr>
      <w:tr>
        <w:tc>
          <w:tcPr>
            <w:tcW w:type="dxa" w:w="4320"/>
          </w:tcPr>
          <w:p>
            <w:r>
              <w:t>Component S W C V Id</w:t>
            </w:r>
          </w:p>
        </w:tc>
        <w:tc>
          <w:tcPr>
            <w:tcW w:type="dxa" w:w="4320"/>
          </w:tcPr>
          <w:p>
            <w:r>
              <w:t>1.25.0</w:t>
            </w:r>
          </w:p>
        </w:tc>
      </w:tr>
      <w:tr>
        <w:tc>
          <w:tcPr>
            <w:tcW w:type="dxa" w:w="4320"/>
          </w:tcPr>
          <w:p>
            <w:r>
              <w:t>Provider Name</w:t>
            </w:r>
          </w:p>
        </w:tc>
        <w:tc>
          <w:tcPr>
            <w:tcW w:type="dxa" w:w="4320"/>
          </w:tcPr>
          <w:p>
            <w:r/>
          </w:p>
        </w:tc>
      </w:tr>
      <w:tr>
        <w:tc>
          <w:tcPr>
            <w:tcW w:type="dxa" w:w="4320"/>
          </w:tcPr>
          <w:p>
            <w:r>
              <w:t>Message Protocol</w:t>
            </w:r>
          </w:p>
        </w:tc>
        <w:tc>
          <w:tcPr>
            <w:tcW w:type="dxa" w:w="4320"/>
          </w:tcPr>
          <w:p>
            <w:r>
              <w:t>OData V2</w:t>
            </w:r>
          </w:p>
        </w:tc>
      </w:tr>
      <w:tr>
        <w:tc>
          <w:tcPr>
            <w:tcW w:type="dxa" w:w="4320"/>
          </w:tcPr>
          <w:p>
            <w:r>
              <w:t>Direction</w:t>
            </w:r>
          </w:p>
        </w:tc>
        <w:tc>
          <w:tcPr>
            <w:tcW w:type="dxa" w:w="4320"/>
          </w:tcPr>
          <w:p>
            <w:r>
              <w:t>Receiver</w:t>
            </w:r>
          </w:p>
        </w:tc>
      </w:tr>
      <w:tr>
        <w:tc>
          <w:tcPr>
            <w:tcW w:type="dxa" w:w="4320"/>
          </w:tcPr>
          <w:p>
            <w:r>
              <w:t>Scc Location Id</w:t>
            </w:r>
          </w:p>
        </w:tc>
        <w:tc>
          <w:tcPr>
            <w:tcW w:type="dxa" w:w="4320"/>
          </w:tcPr>
          <w:p>
            <w:r>
              <w:t>UST-OPTUM-CPI</w:t>
            </w:r>
          </w:p>
        </w:tc>
      </w:tr>
      <w:tr>
        <w:tc>
          <w:tcPr>
            <w:tcW w:type="dxa" w:w="4320"/>
          </w:tcPr>
          <w:p>
            <w:r>
              <w:t>Metadata Allowed Headers</w:t>
            </w:r>
          </w:p>
        </w:tc>
        <w:tc>
          <w:tcPr>
            <w:tcW w:type="dxa" w:w="4320"/>
          </w:tcPr>
          <w:p>
            <w:r/>
          </w:p>
        </w:tc>
      </w:tr>
      <w:tr>
        <w:tc>
          <w:tcPr>
            <w:tcW w:type="dxa" w:w="4320"/>
          </w:tcPr>
          <w:p>
            <w:r>
              <w:t>Component Type</w:t>
            </w:r>
          </w:p>
        </w:tc>
        <w:tc>
          <w:tcPr>
            <w:tcW w:type="dxa" w:w="4320"/>
          </w:tcPr>
          <w:p>
            <w:r>
              <w:t>HCIOData</w:t>
            </w:r>
          </w:p>
        </w:tc>
      </w:tr>
      <w:tr>
        <w:tc>
          <w:tcPr>
            <w:tcW w:type="dxa" w:w="4320"/>
          </w:tcPr>
          <w:p>
            <w:r>
              <w:t>Address</w:t>
            </w:r>
          </w:p>
        </w:tc>
        <w:tc>
          <w:tcPr>
            <w:tcW w:type="dxa" w:w="4320"/>
          </w:tcPr>
          <w:p>
            <w:r>
              <w:t>http://sentrydev:44300/sap/opu/odata/sap/API_SALES_CONTRACT_SRV</w:t>
            </w:r>
          </w:p>
        </w:tc>
      </w:tr>
      <w:tr>
        <w:tc>
          <w:tcPr>
            <w:tcW w:type="dxa" w:w="4320"/>
          </w:tcPr>
          <w:p>
            <w:r>
              <w:t>Query Options</w:t>
            </w:r>
          </w:p>
        </w:tc>
        <w:tc>
          <w:tcPr>
            <w:tcW w:type="dxa" w:w="4320"/>
          </w:tcPr>
          <w:p>
            <w:r/>
          </w:p>
        </w:tc>
      </w:tr>
      <w:tr>
        <w:tc>
          <w:tcPr>
            <w:tcW w:type="dxa" w:w="4320"/>
          </w:tcPr>
          <w:p>
            <w:r>
              <w:t>Proxy Type</w:t>
            </w:r>
          </w:p>
        </w:tc>
        <w:tc>
          <w:tcPr>
            <w:tcW w:type="dxa" w:w="4320"/>
          </w:tcPr>
          <w:p>
            <w:r>
              <w:t>sapcc</w:t>
            </w:r>
          </w:p>
        </w:tc>
      </w:tr>
      <w:tr>
        <w:tc>
          <w:tcPr>
            <w:tcW w:type="dxa" w:w="4320"/>
          </w:tcPr>
          <w:p>
            <w:r>
              <w:t>Is C S R F Enabled</w:t>
            </w:r>
          </w:p>
        </w:tc>
        <w:tc>
          <w:tcPr>
            <w:tcW w:type="dxa" w:w="4320"/>
          </w:tcPr>
          <w:p>
            <w:r>
              <w:t>false</w:t>
            </w:r>
          </w:p>
        </w:tc>
      </w:tr>
      <w:tr>
        <w:tc>
          <w:tcPr>
            <w:tcW w:type="dxa" w:w="4320"/>
          </w:tcPr>
          <w:p>
            <w:r>
              <w:t>Component Version</w:t>
            </w:r>
          </w:p>
        </w:tc>
        <w:tc>
          <w:tcPr>
            <w:tcW w:type="dxa" w:w="4320"/>
          </w:tcPr>
          <w:p>
            <w:r>
              <w:t>1.25</w:t>
            </w:r>
          </w:p>
        </w:tc>
      </w:tr>
      <w:tr>
        <w:tc>
          <w:tcPr>
            <w:tcW w:type="dxa" w:w="4320"/>
          </w:tcPr>
          <w:p>
            <w:r>
              <w:t>Proxy Host</w:t>
            </w:r>
          </w:p>
        </w:tc>
        <w:tc>
          <w:tcPr>
            <w:tcW w:type="dxa" w:w="4320"/>
          </w:tcPr>
          <w:p>
            <w:r/>
          </w:p>
        </w:tc>
      </w:tr>
      <w:tr>
        <w:tc>
          <w:tcPr>
            <w:tcW w:type="dxa" w:w="4320"/>
          </w:tcPr>
          <w:p>
            <w:r>
              <w:t>Edmx File Path</w:t>
            </w:r>
          </w:p>
        </w:tc>
        <w:tc>
          <w:tcPr>
            <w:tcW w:type="dxa" w:w="4320"/>
          </w:tcPr>
          <w:p>
            <w:r>
              <w:t>edmx/sentrydev_44300_sap_opu_odata_sap_API_SALES_CONTRACT_SRV.edmx</w:t>
            </w:r>
          </w:p>
        </w:tc>
      </w:tr>
      <w:tr>
        <w:tc>
          <w:tcPr>
            <w:tcW w:type="dxa" w:w="4320"/>
          </w:tcPr>
          <w:p>
            <w:r>
              <w:t>Provider Url</w:t>
            </w:r>
          </w:p>
        </w:tc>
        <w:tc>
          <w:tcPr>
            <w:tcW w:type="dxa" w:w="4320"/>
          </w:tcPr>
          <w:p>
            <w:r/>
          </w:p>
        </w:tc>
      </w:tr>
      <w:tr>
        <w:tc>
          <w:tcPr>
            <w:tcW w:type="dxa" w:w="4320"/>
          </w:tcPr>
          <w:p>
            <w:r>
              <w:t>Enable T L S Session Reuse</w:t>
            </w:r>
          </w:p>
        </w:tc>
        <w:tc>
          <w:tcPr>
            <w:tcW w:type="dxa" w:w="4320"/>
          </w:tcPr>
          <w:p>
            <w:r>
              <w:t>true</w:t>
            </w:r>
          </w:p>
        </w:tc>
      </w:tr>
      <w:tr>
        <w:tc>
          <w:tcPr>
            <w:tcW w:type="dxa" w:w="4320"/>
          </w:tcPr>
          <w:p>
            <w:r>
              <w:t>Odatapagesize</w:t>
            </w:r>
          </w:p>
        </w:tc>
        <w:tc>
          <w:tcPr>
            <w:tcW w:type="dxa" w:w="4320"/>
          </w:tcPr>
          <w:p>
            <w:r/>
          </w:p>
        </w:tc>
      </w:tr>
      <w:tr>
        <w:tc>
          <w:tcPr>
            <w:tcW w:type="dxa" w:w="4320"/>
          </w:tcPr>
          <w:p>
            <w:r>
              <w:t>System</w:t>
            </w:r>
          </w:p>
        </w:tc>
        <w:tc>
          <w:tcPr>
            <w:tcW w:type="dxa" w:w="4320"/>
          </w:tcPr>
          <w:p>
            <w:r>
              <w:t>Receiver1</w:t>
            </w:r>
          </w:p>
        </w:tc>
      </w:tr>
      <w:tr>
        <w:tc>
          <w:tcPr>
            <w:tcW w:type="dxa" w:w="4320"/>
          </w:tcPr>
          <w:p>
            <w:r>
              <w:t>Authentication Method</w:t>
            </w:r>
          </w:p>
        </w:tc>
        <w:tc>
          <w:tcPr>
            <w:tcW w:type="dxa" w:w="4320"/>
          </w:tcPr>
          <w:p>
            <w:r>
              <w:t>Basic</w:t>
            </w:r>
          </w:p>
        </w:tc>
      </w:tr>
      <w:tr>
        <w:tc>
          <w:tcPr>
            <w:tcW w:type="dxa" w:w="4320"/>
          </w:tcPr>
          <w:p>
            <w:r>
              <w:t>Whitelist Response Headers</w:t>
            </w:r>
          </w:p>
        </w:tc>
        <w:tc>
          <w:tcPr>
            <w:tcW w:type="dxa" w:w="4320"/>
          </w:tcPr>
          <w:p>
            <w:r/>
          </w:p>
        </w:tc>
      </w:tr>
      <w:tr>
        <w:tc>
          <w:tcPr>
            <w:tcW w:type="dxa" w:w="4320"/>
          </w:tcPr>
          <w:p>
            <w:r>
              <w:t>Enable Batch Processing</w:t>
            </w:r>
          </w:p>
        </w:tc>
        <w:tc>
          <w:tcPr>
            <w:tcW w:type="dxa" w:w="4320"/>
          </w:tcPr>
          <w:p>
            <w:r>
              <w:t>1</w:t>
            </w:r>
          </w:p>
        </w:tc>
      </w:tr>
      <w:tr>
        <w:tc>
          <w:tcPr>
            <w:tcW w:type="dxa" w:w="4320"/>
          </w:tcPr>
          <w:p>
            <w:r>
              <w:t>Transport Protocol</w:t>
            </w:r>
          </w:p>
        </w:tc>
        <w:tc>
          <w:tcPr>
            <w:tcW w:type="dxa" w:w="4320"/>
          </w:tcPr>
          <w:p>
            <w:r>
              <w:t>HTTP</w:t>
            </w:r>
          </w:p>
        </w:tc>
      </w:tr>
      <w:tr>
        <w:tc>
          <w:tcPr>
            <w:tcW w:type="dxa" w:w="4320"/>
          </w:tcPr>
          <w:p>
            <w:r>
              <w:t>Character Encoding</w:t>
            </w:r>
          </w:p>
        </w:tc>
        <w:tc>
          <w:tcPr>
            <w:tcW w:type="dxa" w:w="4320"/>
          </w:tcPr>
          <w:p>
            <w:r>
              <w:t>none</w:t>
            </w:r>
          </w:p>
        </w:tc>
      </w:tr>
      <w:tr>
        <w:tc>
          <w:tcPr>
            <w:tcW w:type="dxa" w:w="4320"/>
          </w:tcPr>
          <w:p>
            <w:r>
              <w:t>Fields</w:t>
            </w:r>
          </w:p>
        </w:tc>
        <w:tc>
          <w:tcPr>
            <w:tcW w:type="dxa" w:w="4320"/>
          </w:tcPr>
          <w:p>
            <w:r>
              <w:t>SalesContract,SalesContractType,SalesOrganization,DistributionChannel,SalesContractValidityStartDate,SalesContractValidityEndDate,SalesContractValidityPerdUnit,CustomerPurchaseOrderType,OrganizationDivision,SoldToParty,CustomerPurchaseOrderDate,PurchaseOrderByCustomer,to_Item/SalesContractItem,to_Item/SalesContract,to_Item/Material,to_Item/RequestedQuantity</w:t>
            </w:r>
          </w:p>
        </w:tc>
      </w:tr>
      <w:tr>
        <w:tc>
          <w:tcPr>
            <w:tcW w:type="dxa" w:w="4320"/>
          </w:tcPr>
          <w:p>
            <w:r>
              <w:t>Cmd Variant Uri</w:t>
            </w:r>
          </w:p>
        </w:tc>
        <w:tc>
          <w:tcPr>
            <w:tcW w:type="dxa" w:w="4320"/>
          </w:tcPr>
          <w:p>
            <w:r>
              <w:t>ctype::AdapterVariant/cname::sap:HCIOData/tp::HTTP/mp::OData V2/direction::Receiver/version::1.25.0</w:t>
            </w:r>
          </w:p>
        </w:tc>
      </w:tr>
      <w:tr>
        <w:tc>
          <w:tcPr>
            <w:tcW w:type="dxa" w:w="4320"/>
          </w:tcPr>
          <w:p>
            <w:r>
              <w:t>Whitelist Request Headers</w:t>
            </w:r>
          </w:p>
        </w:tc>
        <w:tc>
          <w:tcPr>
            <w:tcW w:type="dxa" w:w="4320"/>
          </w:tcPr>
          <w:p>
            <w:r/>
          </w:p>
        </w:tc>
      </w:tr>
      <w:tr>
        <w:tc>
          <w:tcPr>
            <w:tcW w:type="dxa" w:w="4320"/>
          </w:tcPr>
          <w:p>
            <w:r>
              <w:t>Operation</w:t>
            </w:r>
          </w:p>
        </w:tc>
        <w:tc>
          <w:tcPr>
            <w:tcW w:type="dxa" w:w="4320"/>
          </w:tcPr>
          <w:p>
            <w:r>
              <w:t>Create(POST)</w:t>
            </w:r>
          </w:p>
        </w:tc>
      </w:tr>
      <w:tr>
        <w:tc>
          <w:tcPr>
            <w:tcW w:type="dxa" w:w="4320"/>
          </w:tcPr>
          <w:p>
            <w:r>
              <w:t>Message Protocol Version</w:t>
            </w:r>
          </w:p>
        </w:tc>
        <w:tc>
          <w:tcPr>
            <w:tcW w:type="dxa" w:w="4320"/>
          </w:tcPr>
          <w:p>
            <w:r>
              <w:t>1.25.0</w:t>
            </w:r>
          </w:p>
        </w:tc>
      </w:tr>
      <w:tr>
        <w:tc>
          <w:tcPr>
            <w:tcW w:type="dxa" w:w="4320"/>
          </w:tcPr>
          <w:p>
            <w:r>
              <w:t>Provider Relative Url</w:t>
            </w:r>
          </w:p>
        </w:tc>
        <w:tc>
          <w:tcPr>
            <w:tcW w:type="dxa" w:w="4320"/>
          </w:tcPr>
          <w:p>
            <w:r/>
          </w:p>
        </w:tc>
      </w:tr>
    </w:tbl>
    <w:p>
      <w:pPr>
        <w:pStyle w:val="Heading2"/>
      </w:pPr>
      <w:r>
        <w:t>5.5. Mappings</w:t>
      </w:r>
    </w:p>
    <w:p>
      <w:r>
        <w:rPr>
          <w:b w:val="0"/>
          <w:i w:val="0"/>
          <w:sz w:val="24"/>
        </w:rPr>
        <w:t>The iFlow contains a `Mappings` section with a single `MappingActivity` (id=1) which represents a Message Mapping. This mapping utilizes a static mapping reference.  The core mapping logic is defined externally in a file located at `dir://mmap/src/main/resources/mapping/Bulk2.mmap`.  The mapping file's base name is "Bulk2" and it is located at path 'src/main/resources/mapping/Bulk2'. The activity uses component version 1.3 and the mapping step version is 1.3.1.</w:t>
        <w:br/>
      </w:r>
    </w:p>
    <w:p>
      <w:pPr>
        <w:pStyle w:val="Heading3"/>
      </w:pPr>
      <w:r>
        <w:t>Mapping Activity 1 Properties</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mappinguri</w:t>
            </w:r>
          </w:p>
        </w:tc>
        <w:tc>
          <w:tcPr>
            <w:tcW w:type="dxa" w:w="4320"/>
          </w:tcPr>
          <w:p>
            <w:r>
              <w:t>dir://mmap/src/main/resources/mapping/Bulk2.mmap</w:t>
            </w:r>
          </w:p>
        </w:tc>
      </w:tr>
      <w:tr>
        <w:tc>
          <w:tcPr>
            <w:tcW w:type="dxa" w:w="4320"/>
          </w:tcPr>
          <w:p>
            <w:r>
              <w:t>mappingname</w:t>
            </w:r>
          </w:p>
        </w:tc>
        <w:tc>
          <w:tcPr>
            <w:tcW w:type="dxa" w:w="4320"/>
          </w:tcPr>
          <w:p>
            <w:r>
              <w:t>Bulk2</w:t>
            </w:r>
          </w:p>
        </w:tc>
      </w:tr>
      <w:tr>
        <w:tc>
          <w:tcPr>
            <w:tcW w:type="dxa" w:w="4320"/>
          </w:tcPr>
          <w:p>
            <w:r>
              <w:t>mappingSourceValue</w:t>
            </w:r>
          </w:p>
        </w:tc>
        <w:tc>
          <w:tcPr>
            <w:tcW w:type="dxa" w:w="4320"/>
          </w:tcPr>
          <w:p>
            <w:r/>
          </w:p>
        </w:tc>
      </w:tr>
      <w:tr>
        <w:tc>
          <w:tcPr>
            <w:tcW w:type="dxa" w:w="4320"/>
          </w:tcPr>
          <w:p>
            <w:r>
              <w:t>mappingType</w:t>
            </w:r>
          </w:p>
        </w:tc>
        <w:tc>
          <w:tcPr>
            <w:tcW w:type="dxa" w:w="4320"/>
          </w:tcPr>
          <w:p>
            <w:r>
              <w:t>MessageMapping</w:t>
            </w:r>
          </w:p>
        </w:tc>
      </w:tr>
      <w:tr>
        <w:tc>
          <w:tcPr>
            <w:tcW w:type="dxa" w:w="4320"/>
          </w:tcPr>
          <w:p>
            <w:r>
              <w:t>mappingReference</w:t>
            </w:r>
          </w:p>
        </w:tc>
        <w:tc>
          <w:tcPr>
            <w:tcW w:type="dxa" w:w="4320"/>
          </w:tcPr>
          <w:p>
            <w:r>
              <w:t>static</w:t>
            </w:r>
          </w:p>
        </w:tc>
      </w:tr>
      <w:tr>
        <w:tc>
          <w:tcPr>
            <w:tcW w:type="dxa" w:w="4320"/>
          </w:tcPr>
          <w:p>
            <w:r>
              <w:t>mappingpath</w:t>
            </w:r>
          </w:p>
        </w:tc>
        <w:tc>
          <w:tcPr>
            <w:tcW w:type="dxa" w:w="4320"/>
          </w:tcPr>
          <w:p>
            <w:r>
              <w:t>src/main/resources/mapping/Bulk2</w:t>
            </w:r>
          </w:p>
        </w:tc>
      </w:tr>
      <w:tr>
        <w:tc>
          <w:tcPr>
            <w:tcW w:type="dxa" w:w="4320"/>
          </w:tcPr>
          <w:p>
            <w:r>
              <w:t>componentVersion</w:t>
            </w:r>
          </w:p>
        </w:tc>
        <w:tc>
          <w:tcPr>
            <w:tcW w:type="dxa" w:w="4320"/>
          </w:tcPr>
          <w:p>
            <w:r>
              <w:t>1.3</w:t>
            </w:r>
          </w:p>
        </w:tc>
      </w:tr>
      <w:tr>
        <w:tc>
          <w:tcPr>
            <w:tcW w:type="dxa" w:w="4320"/>
          </w:tcPr>
          <w:p>
            <w:r>
              <w:t>activityType</w:t>
            </w:r>
          </w:p>
        </w:tc>
        <w:tc>
          <w:tcPr>
            <w:tcW w:type="dxa" w:w="4320"/>
          </w:tcPr>
          <w:p>
            <w:r>
              <w:t>Mapping</w:t>
            </w:r>
          </w:p>
        </w:tc>
      </w:tr>
      <w:tr>
        <w:tc>
          <w:tcPr>
            <w:tcW w:type="dxa" w:w="4320"/>
          </w:tcPr>
          <w:p>
            <w:r>
              <w:t>cmdVariantUri</w:t>
            </w:r>
          </w:p>
        </w:tc>
        <w:tc>
          <w:tcPr>
            <w:tcW w:type="dxa" w:w="4320"/>
          </w:tcPr>
          <w:p>
            <w:r>
              <w:t>ctype::FlowstepVariant/cname::MessageMapping/version::1.3.1</w:t>
            </w:r>
          </w:p>
        </w:tc>
      </w:tr>
      <w:tr>
        <w:tc>
          <w:tcPr>
            <w:tcW w:type="dxa" w:w="4320"/>
          </w:tcPr>
          <w:p>
            <w:r>
              <w:t>messageMappingBundleId</w:t>
            </w:r>
          </w:p>
        </w:tc>
        <w:tc>
          <w:tcPr>
            <w:tcW w:type="dxa" w:w="4320"/>
          </w:tcPr>
          <w:p>
            <w:r/>
          </w:p>
        </w:tc>
      </w:tr>
    </w:tbl>
    <w:p>
      <w:pPr>
        <w:pStyle w:val="Heading2"/>
      </w:pPr>
      <w:r>
        <w:t>5.6. Security</w:t>
      </w:r>
    </w:p>
    <w:p>
      <w:r>
        <w:rPr>
          <w:b w:val="0"/>
          <w:i w:val="0"/>
          <w:sz w:val="24"/>
        </w:rPr>
        <w:t>The iFlow's security configuration defines a collaboration named "Default Collaboration" with component version 1.2.  It disables CORS (`corsEnabled: false`) and server tracing (`ServerTrace: false`), and does not allow credentials (`accessControlAllowCredentials: false`).  Sender authentication uses role-based authorization (`senderAuthType: RoleBased`) requiring the "ESBMessaging.send" role. The flow includes an HTTPS sender which doesn't support XSRF protection, an OData receiver that uses Basic authentication (`authenticationMethod: Basic`) and a "None" HTTP session handling policy.</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Namespace Mapping</w:t>
            </w:r>
          </w:p>
        </w:tc>
        <w:tc>
          <w:tcPr>
            <w:tcW w:type="dxa" w:w="4320"/>
          </w:tcPr>
          <w:p>
            <w:r/>
          </w:p>
        </w:tc>
      </w:tr>
      <w:tr>
        <w:tc>
          <w:tcPr>
            <w:tcW w:type="dxa" w:w="4320"/>
          </w:tcPr>
          <w:p>
            <w:r>
              <w:t>Http Session Handling</w:t>
            </w:r>
          </w:p>
        </w:tc>
        <w:tc>
          <w:tcPr>
            <w:tcW w:type="dxa" w:w="4320"/>
          </w:tcPr>
          <w:p>
            <w:r>
              <w:t>None</w:t>
            </w:r>
          </w:p>
        </w:tc>
      </w:tr>
      <w:tr>
        <w:tc>
          <w:tcPr>
            <w:tcW w:type="dxa" w:w="4320"/>
          </w:tcPr>
          <w:p>
            <w:r>
              <w:t>Access Control Max Age</w:t>
            </w:r>
          </w:p>
        </w:tc>
        <w:tc>
          <w:tcPr>
            <w:tcW w:type="dxa" w:w="4320"/>
          </w:tcPr>
          <w:p>
            <w:r/>
          </w:p>
        </w:tc>
      </w:tr>
      <w:tr>
        <w:tc>
          <w:tcPr>
            <w:tcW w:type="dxa" w:w="4320"/>
          </w:tcPr>
          <w:p>
            <w:r>
              <w:t>Return Exception To Sender</w:t>
            </w:r>
          </w:p>
        </w:tc>
        <w:tc>
          <w:tcPr>
            <w:tcW w:type="dxa" w:w="4320"/>
          </w:tcPr>
          <w:p>
            <w:r>
              <w:t>false</w:t>
            </w:r>
          </w:p>
        </w:tc>
      </w:tr>
      <w:tr>
        <w:tc>
          <w:tcPr>
            <w:tcW w:type="dxa" w:w="4320"/>
          </w:tcPr>
          <w:p>
            <w:r>
              <w:t>Log</w:t>
            </w:r>
          </w:p>
        </w:tc>
        <w:tc>
          <w:tcPr>
            <w:tcW w:type="dxa" w:w="4320"/>
          </w:tcPr>
          <w:p>
            <w:r>
              <w:t>All events</w:t>
            </w:r>
          </w:p>
        </w:tc>
      </w:tr>
      <w:tr>
        <w:tc>
          <w:tcPr>
            <w:tcW w:type="dxa" w:w="4320"/>
          </w:tcPr>
          <w:p>
            <w:r>
              <w:t>Cors Enabled</w:t>
            </w:r>
          </w:p>
        </w:tc>
        <w:tc>
          <w:tcPr>
            <w:tcW w:type="dxa" w:w="4320"/>
          </w:tcPr>
          <w:p>
            <w:r>
              <w:t>false</w:t>
            </w:r>
          </w:p>
        </w:tc>
      </w:tr>
      <w:tr>
        <w:tc>
          <w:tcPr>
            <w:tcW w:type="dxa" w:w="4320"/>
          </w:tcPr>
          <w:p>
            <w:r>
              <w:t>Exposed Headers</w:t>
            </w:r>
          </w:p>
        </w:tc>
        <w:tc>
          <w:tcPr>
            <w:tcW w:type="dxa" w:w="4320"/>
          </w:tcPr>
          <w:p>
            <w:r/>
          </w:p>
        </w:tc>
      </w:tr>
      <w:tr>
        <w:tc>
          <w:tcPr>
            <w:tcW w:type="dxa" w:w="4320"/>
          </w:tcPr>
          <w:p>
            <w:r>
              <w:t>Component Version</w:t>
            </w:r>
          </w:p>
        </w:tc>
        <w:tc>
          <w:tcPr>
            <w:tcW w:type="dxa" w:w="4320"/>
          </w:tcPr>
          <w:p>
            <w:r>
              <w:t>1.2</w:t>
            </w:r>
          </w:p>
        </w:tc>
      </w:tr>
      <w:tr>
        <w:tc>
          <w:tcPr>
            <w:tcW w:type="dxa" w:w="4320"/>
          </w:tcPr>
          <w:p>
            <w:r>
              <w:t>Allowed Header List</w:t>
            </w:r>
          </w:p>
        </w:tc>
        <w:tc>
          <w:tcPr>
            <w:tcW w:type="dxa" w:w="4320"/>
          </w:tcPr>
          <w:p>
            <w:r/>
          </w:p>
        </w:tc>
      </w:tr>
      <w:tr>
        <w:tc>
          <w:tcPr>
            <w:tcW w:type="dxa" w:w="4320"/>
          </w:tcPr>
          <w:p>
            <w:r>
              <w:t>Server Trace</w:t>
            </w:r>
          </w:p>
        </w:tc>
        <w:tc>
          <w:tcPr>
            <w:tcW w:type="dxa" w:w="4320"/>
          </w:tcPr>
          <w:p>
            <w:r>
              <w:t>false</w:t>
            </w:r>
          </w:p>
        </w:tc>
      </w:tr>
      <w:tr>
        <w:tc>
          <w:tcPr>
            <w:tcW w:type="dxa" w:w="4320"/>
          </w:tcPr>
          <w:p>
            <w:r>
              <w:t>Allowed Origins</w:t>
            </w:r>
          </w:p>
        </w:tc>
        <w:tc>
          <w:tcPr>
            <w:tcW w:type="dxa" w:w="4320"/>
          </w:tcPr>
          <w:p>
            <w:r/>
          </w:p>
        </w:tc>
      </w:tr>
      <w:tr>
        <w:tc>
          <w:tcPr>
            <w:tcW w:type="dxa" w:w="4320"/>
          </w:tcPr>
          <w:p>
            <w:r>
              <w:t>Access Control Allow Credentials</w:t>
            </w:r>
          </w:p>
        </w:tc>
        <w:tc>
          <w:tcPr>
            <w:tcW w:type="dxa" w:w="4320"/>
          </w:tcPr>
          <w:p>
            <w:r>
              <w:t>false</w:t>
            </w:r>
          </w:p>
        </w:tc>
      </w:tr>
      <w:tr>
        <w:tc>
          <w:tcPr>
            <w:tcW w:type="dxa" w:w="4320"/>
          </w:tcPr>
          <w:p>
            <w:r>
              <w:t>Allowed Headers</w:t>
            </w:r>
          </w:p>
        </w:tc>
        <w:tc>
          <w:tcPr>
            <w:tcW w:type="dxa" w:w="4320"/>
          </w:tcPr>
          <w:p>
            <w:r/>
          </w:p>
        </w:tc>
      </w:tr>
      <w:tr>
        <w:tc>
          <w:tcPr>
            <w:tcW w:type="dxa" w:w="4320"/>
          </w:tcPr>
          <w:p>
            <w:r>
              <w:t>Allowed Methods</w:t>
            </w:r>
          </w:p>
        </w:tc>
        <w:tc>
          <w:tcPr>
            <w:tcW w:type="dxa" w:w="4320"/>
          </w:tcPr>
          <w:p>
            <w:r/>
          </w:p>
        </w:tc>
      </w:tr>
      <w:tr>
        <w:tc>
          <w:tcPr>
            <w:tcW w:type="dxa" w:w="4320"/>
          </w:tcPr>
          <w:p>
            <w:r>
              <w:t>Cmd Variant Uri</w:t>
            </w:r>
          </w:p>
        </w:tc>
        <w:tc>
          <w:tcPr>
            <w:tcW w:type="dxa" w:w="4320"/>
          </w:tcPr>
          <w:p>
            <w:r>
              <w:t>ctype::IFlowVariant/cname::IFlowConfiguration/version::1.2.4</w:t>
            </w:r>
          </w:p>
        </w:tc>
      </w:tr>
    </w:tbl>
    <w:p>
      <w:pPr>
        <w:pStyle w:val="Heading2"/>
      </w:pPr>
      <w:r>
        <w:t>5.7. Groovy Scripts</w:t>
      </w:r>
    </w:p>
    <w:p>
      <w:r>
        <w:rPr>
          <w:b w:val="0"/>
          <w:i w:val="0"/>
          <w:sz w:val="24"/>
        </w:rPr>
        <w:t>This SAP iFlow named "Post_Bulk_Order_SV" utilizes Groovy scripting within Content Modifiers to manipulate message content. Specifically, the iFlow extracts the Material Number using an XPath expression within "Content Modifier 2". Another Content Modifier, "Content Modifier 3", creates a header "Mat2" using Groovy to capture `A_SalesContractItemType/Material`. This iFlow implements splitting, routing, and external calls. Finally, data is written to a datastore named "Post_BO_SV".</w:t>
        <w:br/>
      </w:r>
    </w:p>
    <w:p>
      <w:r>
        <w:rPr>
          <w:b w:val="0"/>
          <w:i w:val="0"/>
          <w:sz w:val="24"/>
        </w:rPr>
        <w:t>No Groovy scripts found in the specified folder.</w:t>
      </w:r>
    </w:p>
    <w:p>
      <w:pPr>
        <w:pStyle w:val="Heading2"/>
      </w:pPr>
      <w:r>
        <w:t>5.8. Error Handling &amp; Logging</w:t>
      </w:r>
    </w:p>
    <w:p>
      <w:r>
        <w:rPr>
          <w:b w:val="0"/>
          <w:i w:val="0"/>
          <w:sz w:val="24"/>
        </w:rPr>
        <w:t>The provided SAP iFlow XML snippet shows an `&lt;Exceptions&gt;` element with no defined children. This indicates the iFlow **currently lacks explicit, custom error handling**. Consequently, the iFlow will likely rely on the default SAP Cloud Integration error handling mechanism.  This default behavior may involve automatic retries or the termination of the iFlow execution upon encountering an error. Custom logging isn't configured, meaning detailed error messages or debugging information might not be readily available unless implemented elsewhere (e.g., within message mapping scripts). Further iFlow configuration is needed to enable detailed error handling and logging for improved troubleshooting.</w:t>
        <w:br/>
      </w:r>
    </w:p>
    <w:p>
      <w:r>
        <w:rPr>
          <w:b w:val="0"/>
          <w:i w:val="0"/>
          <w:sz w:val="24"/>
        </w:rPr>
        <w:t>No exception subprocesses found in the iFlow.</w:t>
      </w:r>
    </w:p>
    <w:p>
      <w:pPr>
        <w:pStyle w:val="Heading1"/>
      </w:pPr>
      <w:r>
        <w:t>6. Version and Metadata</w:t>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componentVersion</w:t>
            </w:r>
          </w:p>
        </w:tc>
        <w:tc>
          <w:tcPr>
            <w:tcW w:type="dxa" w:w="4320"/>
          </w:tcPr>
          <w:p>
            <w:r>
              <w:t>1.0</w:t>
            </w:r>
          </w:p>
        </w:tc>
      </w:tr>
      <w:tr>
        <w:tc>
          <w:tcPr>
            <w:tcW w:type="dxa" w:w="4320"/>
          </w:tcPr>
          <w:p>
            <w:r>
              <w:t>ComponentNS</w:t>
            </w:r>
          </w:p>
        </w:tc>
        <w:tc>
          <w:tcPr>
            <w:tcW w:type="dxa" w:w="4320"/>
          </w:tcPr>
          <w:p>
            <w:r>
              <w:t>sap</w:t>
            </w:r>
          </w:p>
        </w:tc>
      </w:tr>
      <w:tr>
        <w:tc>
          <w:tcPr>
            <w:tcW w:type="dxa" w:w="4320"/>
          </w:tcPr>
          <w:p>
            <w:r>
              <w:t>ComponentSWCVName</w:t>
            </w:r>
          </w:p>
        </w:tc>
        <w:tc>
          <w:tcPr>
            <w:tcW w:type="dxa" w:w="4320"/>
          </w:tcPr>
          <w:p>
            <w:r>
              <w:t>external</w:t>
            </w:r>
          </w:p>
        </w:tc>
      </w:tr>
      <w:tr>
        <w:tc>
          <w:tcPr>
            <w:tcW w:type="dxa" w:w="4320"/>
          </w:tcPr>
          <w:p>
            <w:r>
              <w:t>ComponentSWCVId</w:t>
            </w:r>
          </w:p>
        </w:tc>
        <w:tc>
          <w:tcPr>
            <w:tcW w:type="dxa" w:w="4320"/>
          </w:tcPr>
          <w:p>
            <w:r>
              <w:t>1.5.2</w:t>
            </w:r>
          </w:p>
        </w:tc>
      </w:tr>
    </w:tbl>
    <w:p>
      <w:r>
        <w:rPr>
          <w:b w:val="0"/>
          <w:i w:val="0"/>
          <w:sz w:val="24"/>
        </w:rPr>
        <w:t>This SAP iFlow utilizes a component version of 1.0, originating from the `sap` namespace. The associated Software Component Version (SWCV) is named `external`. Its identifier (`ComponentSWCVId`) is `1.5.2`, signifying a specific release or update level of the referenced external component. This iFlow relies on a component from the `sap` namespace.</w:t>
        <w:br/>
      </w:r>
    </w:p>
    <w:p>
      <w:pPr>
        <w:pStyle w:val="Heading1"/>
      </w:pPr>
      <w:r>
        <w:t>7. Appendix</w:t>
      </w:r>
    </w:p>
    <w:p>
      <w:r>
        <w:rPr>
          <w:b w:val="0"/>
          <w:i w:val="0"/>
          <w:sz w:val="24"/>
        </w:rPr>
        <w:t>This iFlow contains several technical artifacts, mappings, and scripts.  The artifacts include three Content Modifiers (Content Modifier 1, Content Modifier 2, and Content Modifier 3), a General Splitter, a Request Reply step, an Exclusive Gateway, and two Message End Events. It also includes a Data Store operation.  The iFlow utilizes the "Bulk2.mmap" message mapping, which appears to be located at `dir://mmap/src/main/resources/mapping/Bulk2.mmap`. XPath expressions are used within the Content Modifiers and Exclusive Gateway for content enrichment and routing.</w:t>
        <w:br/>
      </w:r>
    </w:p>
    <w:tbl>
      <w:tblPr>
        <w:tblStyle w:val="TableGrid"/>
        <w:tblW w:type="auto" w:w="0"/>
        <w:tblLook w:firstColumn="1" w:firstRow="1" w:lastColumn="0" w:lastRow="0" w:noHBand="0" w:noVBand="1" w:val="04A0"/>
      </w:tblPr>
      <w:tblGrid>
        <w:gridCol w:w="4320"/>
        <w:gridCol w:w="4320"/>
      </w:tblGrid>
      <w:tr>
        <w:tc>
          <w:tcPr>
            <w:tcW w:type="dxa" w:w="4320"/>
          </w:tcPr>
          <w:p>
            <w:r>
              <w:rPr>
                <w:b/>
                <w:color w:val="003366"/>
              </w:rPr>
              <w:t>Key</w:t>
            </w:r>
          </w:p>
        </w:tc>
        <w:tc>
          <w:tcPr>
            <w:tcW w:type="dxa" w:w="4320"/>
          </w:tcPr>
          <w:p>
            <w:r>
              <w:rPr>
                <w:b/>
                <w:color w:val="003366"/>
              </w:rPr>
              <w:t>Value</w:t>
            </w:r>
          </w:p>
        </w:tc>
      </w:tr>
      <w:tr>
        <w:tc>
          <w:tcPr>
            <w:tcW w:type="dxa" w:w="4320"/>
          </w:tcPr>
          <w:p>
            <w:r>
              <w:t>mappinguri</w:t>
            </w:r>
          </w:p>
        </w:tc>
        <w:tc>
          <w:tcPr>
            <w:tcW w:type="dxa" w:w="4320"/>
          </w:tcPr>
          <w:p>
            <w:r>
              <w:t>dir://mmap/src/main/resources/mapping/Bulk2.mmap</w:t>
            </w:r>
          </w:p>
        </w:tc>
      </w:tr>
      <w:tr>
        <w:tc>
          <w:tcPr>
            <w:tcW w:type="dxa" w:w="4320"/>
          </w:tcPr>
          <w:p>
            <w:r>
              <w:t>mappingname</w:t>
            </w:r>
          </w:p>
        </w:tc>
        <w:tc>
          <w:tcPr>
            <w:tcW w:type="dxa" w:w="4320"/>
          </w:tcPr>
          <w:p>
            <w:r>
              <w:t>Bulk2</w:t>
            </w:r>
          </w:p>
        </w:tc>
      </w:tr>
      <w:tr>
        <w:tc>
          <w:tcPr>
            <w:tcW w:type="dxa" w:w="4320"/>
          </w:tcPr>
          <w:p>
            <w:r>
              <w:t>mappingType</w:t>
            </w:r>
          </w:p>
        </w:tc>
        <w:tc>
          <w:tcPr>
            <w:tcW w:type="dxa" w:w="4320"/>
          </w:tcPr>
          <w:p>
            <w:r>
              <w:t>MessageMapping</w:t>
            </w:r>
          </w:p>
        </w:tc>
      </w:tr>
      <w:tr>
        <w:tc>
          <w:tcPr>
            <w:tcW w:type="dxa" w:w="4320"/>
          </w:tcPr>
          <w:p>
            <w:r>
              <w:t>mappingReference</w:t>
            </w:r>
          </w:p>
        </w:tc>
        <w:tc>
          <w:tcPr>
            <w:tcW w:type="dxa" w:w="4320"/>
          </w:tcPr>
          <w:p>
            <w:r>
              <w:t>static</w:t>
            </w:r>
          </w:p>
        </w:tc>
      </w:tr>
      <w:tr>
        <w:tc>
          <w:tcPr>
            <w:tcW w:type="dxa" w:w="4320"/>
          </w:tcPr>
          <w:p>
            <w:r>
              <w:t>mappingpath</w:t>
            </w:r>
          </w:p>
        </w:tc>
        <w:tc>
          <w:tcPr>
            <w:tcW w:type="dxa" w:w="4320"/>
          </w:tcPr>
          <w:p>
            <w:r>
              <w:t>src/main/resources/mapping/Bulk2</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Author: Generated by AI | Version: 1.0 | Date: 2025-11-04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 xml:space="preserve">Technical Specification: iFlow - Post_Bulk_Order_SV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