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8"/>
        </w:rPr>
        <w:t xml:space="preserve">SAP Integration Suite </w:t>
        <w:br/>
        <w:t>Cloud Integration - Technical Specification</w:t>
        <w:br/>
        <w:t xml:space="preserve"> iFlow Name : Post_Bulk_Order_SV</w:t>
      </w:r>
    </w:p>
    <w:p>
      <w:pPr>
        <w:jc w:val="center"/>
      </w:pPr>
      <w:r>
        <w:rPr>
          <w:b w:val="0"/>
          <w:i w:val="0"/>
          <w:sz w:val="24"/>
        </w:rPr>
        <w:t>Version: 1.0</w:t>
      </w:r>
    </w:p>
    <w:p>
      <w:pPr>
        <w:jc w:val="center"/>
      </w:pPr>
      <w:r>
        <w:rPr>
          <w:b w:val="0"/>
          <w:i w:val="0"/>
          <w:sz w:val="24"/>
        </w:rPr>
        <w:t>Author: Generated by AI</w:t>
      </w:r>
    </w:p>
    <w:p>
      <w:pPr>
        <w:jc w:val="center"/>
      </w:pPr>
      <w:r>
        <w:rPr>
          <w:b w:val="0"/>
          <w:i w:val="0"/>
          <w:sz w:val="24"/>
        </w:rPr>
        <w:t>Date: 2025-11-07</w:t>
      </w:r>
    </w:p>
    <w:p>
      <w:r>
        <w:br w:type="page"/>
      </w:r>
    </w:p>
    <w:p>
      <w:pPr>
        <w:pStyle w:val="Heading1"/>
      </w:pPr>
      <w:r>
        <w:t>Table of Contents</w:t>
      </w:r>
    </w:p>
    <w:p>
      <w:r>
        <w:rPr>
          <w:b w:val="0"/>
          <w:i w:val="0"/>
          <w:sz w:val="24"/>
        </w:rPr>
        <w:t>1. Change History</w:t>
      </w:r>
    </w:p>
    <w:p>
      <w:r>
        <w:rPr>
          <w:b w:val="0"/>
          <w:i w:val="0"/>
          <w:sz w:val="24"/>
        </w:rPr>
        <w:t>2. Overview</w:t>
      </w:r>
    </w:p>
    <w:p>
      <w:r>
        <w:rPr>
          <w:b w:val="0"/>
          <w:i w:val="0"/>
          <w:sz w:val="24"/>
        </w:rPr>
        <w:t>3. High level iFlow Design</w:t>
      </w:r>
    </w:p>
    <w:p>
      <w:r>
        <w:rPr>
          <w:b w:val="0"/>
          <w:i w:val="0"/>
          <w:sz w:val="24"/>
        </w:rPr>
        <w:t>4. Message Flow</w:t>
      </w:r>
    </w:p>
    <w:p>
      <w:r>
        <w:rPr>
          <w:b w:val="0"/>
          <w:i w:val="0"/>
          <w:sz w:val="24"/>
        </w:rPr>
        <w:t>5. Technical Description</w:t>
      </w:r>
    </w:p>
    <w:p>
      <w:r>
        <w:rPr>
          <w:b w:val="0"/>
          <w:i w:val="0"/>
          <w:sz w:val="24"/>
        </w:rPr>
        <w:t>5.1. Main Integration Process</w:t>
      </w:r>
    </w:p>
    <w:p>
      <w:r>
        <w:rPr>
          <w:b w:val="0"/>
          <w:i w:val="0"/>
          <w:sz w:val="24"/>
        </w:rPr>
        <w:t>5.2. Local Integration Process</w:t>
      </w:r>
    </w:p>
    <w:p>
      <w:r>
        <w:rPr>
          <w:b w:val="0"/>
          <w:i w:val="0"/>
          <w:sz w:val="24"/>
        </w:rPr>
        <w:t>5.3. Sender</w:t>
      </w:r>
    </w:p>
    <w:p>
      <w:r>
        <w:rPr>
          <w:b w:val="0"/>
          <w:i w:val="0"/>
          <w:sz w:val="24"/>
        </w:rPr>
        <w:t>5.4. Receiver</w:t>
      </w:r>
    </w:p>
    <w:p>
      <w:r>
        <w:rPr>
          <w:b w:val="0"/>
          <w:i w:val="0"/>
          <w:sz w:val="24"/>
        </w:rPr>
        <w:t>5.5. Mappings</w:t>
      </w:r>
    </w:p>
    <w:p>
      <w:r>
        <w:rPr>
          <w:b w:val="0"/>
          <w:i w:val="0"/>
          <w:sz w:val="24"/>
        </w:rPr>
        <w:t>5.6. Security</w:t>
      </w:r>
    </w:p>
    <w:p>
      <w:r>
        <w:rPr>
          <w:b w:val="0"/>
          <w:i w:val="0"/>
          <w:sz w:val="24"/>
        </w:rPr>
        <w:t>5.7. Groovy Scripts</w:t>
      </w:r>
    </w:p>
    <w:p>
      <w:r>
        <w:rPr>
          <w:b w:val="0"/>
          <w:i w:val="0"/>
          <w:sz w:val="24"/>
        </w:rPr>
        <w:t>5.8. Error Handling &amp; Logging</w:t>
      </w:r>
    </w:p>
    <w:p>
      <w:r>
        <w:rPr>
          <w:b w:val="0"/>
          <w:i w:val="0"/>
          <w:sz w:val="24"/>
        </w:rPr>
        <w:t>6. Version and Metadata</w:t>
      </w:r>
    </w:p>
    <w:p>
      <w:r>
        <w:rPr>
          <w:b w:val="0"/>
          <w:i w:val="0"/>
          <w:sz w:val="24"/>
        </w:rPr>
        <w:t>7. Appendix</w:t>
      </w:r>
    </w:p>
    <w:p>
      <w:r>
        <w:br w:type="page"/>
      </w:r>
    </w:p>
    <w:p>
      <w:pPr>
        <w:pStyle w:val="Heading1"/>
      </w:pPr>
      <w:r>
        <w:t>1. Change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003366"/>
              </w:rPr>
              <w:t>Version</w:t>
            </w:r>
          </w:p>
        </w:tc>
        <w:tc>
          <w:tcPr>
            <w:tcW w:type="dxa" w:w="2160"/>
          </w:tcPr>
          <w:p>
            <w:r>
              <w:rPr>
                <w:b/>
                <w:color w:val="003366"/>
              </w:rPr>
              <w:t>Date</w:t>
            </w:r>
          </w:p>
        </w:tc>
        <w:tc>
          <w:tcPr>
            <w:tcW w:type="dxa" w:w="2160"/>
          </w:tcPr>
          <w:p>
            <w:r>
              <w:rPr>
                <w:b/>
                <w:color w:val="003366"/>
              </w:rPr>
              <w:t>Author</w:t>
            </w:r>
          </w:p>
        </w:tc>
        <w:tc>
          <w:tcPr>
            <w:tcW w:type="dxa" w:w="2160"/>
          </w:tcPr>
          <w:p>
            <w:r>
              <w:rPr>
                <w:b/>
                <w:color w:val="003366"/>
              </w:rPr>
              <w:t>Description</w:t>
            </w:r>
          </w:p>
        </w:tc>
      </w:tr>
      <w:tr>
        <w:tc>
          <w:tcPr>
            <w:tcW w:type="dxa" w:w="2160"/>
          </w:tcPr>
          <w:p>
            <w:r>
              <w:t>1.0</w:t>
            </w:r>
          </w:p>
        </w:tc>
        <w:tc>
          <w:tcPr>
            <w:tcW w:type="dxa" w:w="2160"/>
          </w:tcPr>
          <w:p>
            <w:r>
              <w:t>2025-11-07</w:t>
            </w:r>
          </w:p>
        </w:tc>
        <w:tc>
          <w:tcPr>
            <w:tcW w:type="dxa" w:w="2160"/>
          </w:tcPr>
          <w:p>
            <w:r>
              <w:t>Generated by AI</w:t>
            </w:r>
          </w:p>
        </w:tc>
        <w:tc>
          <w:tcPr>
            <w:tcW w:type="dxa" w:w="2160"/>
          </w:tcPr>
          <w:p>
            <w:r>
              <w:t>Initial version</w:t>
            </w:r>
          </w:p>
        </w:tc>
      </w:tr>
    </w:tbl>
    <w:p>
      <w:r>
        <w:br w:type="page"/>
      </w:r>
    </w:p>
    <w:p>
      <w:pPr>
        <w:pStyle w:val="Heading1"/>
      </w:pPr>
      <w:r>
        <w:t>2. Overview</w:t>
      </w:r>
    </w:p>
    <w:p>
      <w:r>
        <w:rPr>
          <w:b w:val="0"/>
          <w:i w:val="0"/>
          <w:sz w:val="24"/>
        </w:rPr>
        <w:t>This technical specification document provides a detailed blueprint of the Post_Bulk_Order_SV iFlow's configuration. It serves as a reference for understanding the iFlow's design, including sender and receiver communication channels (HTTPS and OData V2), adapter settings, message protocols, and security configurations. The document facilitates troubleshooting, maintenance, and future modifications by outlining the integration's technical parameters. Specifically, the document defines the communication between the sender, receiving data via HTTPS, and the receiver, interacting with an OData V2 service. Ultimately, this document ensures consistent implementation and provides a common understanding of the iFlow across development and operations teams.</w:t>
        <w:br/>
      </w:r>
    </w:p>
    <w:p>
      <w:pPr>
        <w:pStyle w:val="Heading1"/>
      </w:pPr>
      <w:r>
        <w:t>3. High level iFlow Design</w:t>
      </w:r>
    </w:p>
    <w:p>
      <w:r>
        <w:rPr>
          <w:b w:val="0"/>
          <w:i w:val="0"/>
          <w:sz w:val="24"/>
        </w:rPr>
        <w:t>The iFlow `Post_Bulk_Order_SV` starts with a `StartEvent` and then enriches the message with constant data using `Content Modifier 1`. Next, a `Message Mapping` activity (`CallActivity_91`) transforms the message based on the `Bulk2.mmap` mapping.  The flow then enriches the message again using `Content Modifier 3` before sending it to a `Service Task` which represents an external call. The response from this call is then split into individual parts using a `General Splitter` and routed through an `Exclusive Gateway` based on the `statusCode`. Depending on the Route the iFlow either writes data to storage using `Write 1` or updates message content using `Content Modifier 2`. Finally, the iFlow ends with different `End Events` depending on the route taken.</w:t>
        <w:br/>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bpmn_diagram.png"/>
                    <pic:cNvPicPr/>
                  </pic:nvPicPr>
                  <pic:blipFill>
                    <a:blip r:embed="rId11"/>
                    <a:stretch>
                      <a:fillRect/>
                    </a:stretch>
                  </pic:blipFill>
                  <pic:spPr>
                    <a:xfrm>
                      <a:off x="0" y="0"/>
                      <a:ext cx="5486400" cy="1828800"/>
                    </a:xfrm>
                    <a:prstGeom prst="rect"/>
                  </pic:spPr>
                </pic:pic>
              </a:graphicData>
            </a:graphic>
          </wp:inline>
        </w:drawing>
      </w:r>
    </w:p>
    <w:p>
      <w:pPr>
        <w:jc w:val="center"/>
      </w:pPr>
      <w:r>
        <w:rPr>
          <w:b w:val="0"/>
          <w:i w:val="0"/>
          <w:sz w:val="24"/>
        </w:rPr>
        <w:t>Figure: High level BPMN iFlow message and sequence flow</w:t>
      </w:r>
    </w:p>
    <w:p>
      <w:pPr>
        <w:pStyle w:val="Heading1"/>
      </w:pPr>
      <w:r>
        <w:t>4. Message Flow</w:t>
      </w:r>
    </w:p>
    <w:p>
      <w:r>
        <w:rPr>
          <w:b w:val="0"/>
          <w:i w:val="0"/>
          <w:sz w:val="24"/>
        </w:rPr>
        <w:t>This iFlow contains two message flows. The first, named "OData", is a Receiver OData V2 adapter (version 1.25.0) that consumes data from `http://sentrydev:44300/sap/opu/odata/sap/API_SALES_CONTRACT_SRV` using Basic Authentication with the alias "UST_S4_Cred". It uses the resource path `A_SalesContract` and performs a Create(POST) operation. The second message flow, named "HTTPS", is a Sender HTTPS adapter (version 1.5.2) that sends messages to the `/post_bulk/order_sv` URL path, utilizing role-based authentication (`ESBMessaging.send`).  It enforces a maximum body size of 40MB and uses HTTPS transport protocol.</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3366"/>
              </w:rPr>
              <w:t>Source</w:t>
            </w:r>
          </w:p>
        </w:tc>
        <w:tc>
          <w:tcPr>
            <w:tcW w:type="dxa" w:w="2880"/>
          </w:tcPr>
          <w:p>
            <w:r>
              <w:rPr>
                <w:b/>
                <w:color w:val="003366"/>
              </w:rPr>
              <w:t>Target</w:t>
            </w:r>
          </w:p>
        </w:tc>
        <w:tc>
          <w:tcPr>
            <w:tcW w:type="dxa" w:w="2880"/>
          </w:tcPr>
          <w:p>
            <w:r>
              <w:rPr>
                <w:b/>
                <w:color w:val="003366"/>
              </w:rPr>
              <w:t>Name</w:t>
            </w:r>
          </w:p>
        </w:tc>
      </w:tr>
      <w:tr>
        <w:tc>
          <w:tcPr>
            <w:tcW w:type="dxa" w:w="2880"/>
          </w:tcPr>
          <w:p>
            <w:r>
              <w:t>Request Reply 1</w:t>
            </w:r>
          </w:p>
        </w:tc>
        <w:tc>
          <w:tcPr>
            <w:tcW w:type="dxa" w:w="2880"/>
          </w:tcPr>
          <w:p>
            <w:r>
              <w:t>Receiver1</w:t>
            </w:r>
          </w:p>
        </w:tc>
        <w:tc>
          <w:tcPr>
            <w:tcW w:type="dxa" w:w="2880"/>
          </w:tcPr>
          <w:p>
            <w:r>
              <w:t>OData</w:t>
            </w:r>
          </w:p>
        </w:tc>
      </w:tr>
      <w:tr>
        <w:tc>
          <w:tcPr>
            <w:tcW w:type="dxa" w:w="2880"/>
          </w:tcPr>
          <w:p>
            <w:r>
              <w:t>Sender</w:t>
            </w:r>
          </w:p>
        </w:tc>
        <w:tc>
          <w:tcPr>
            <w:tcW w:type="dxa" w:w="2880"/>
          </w:tcPr>
          <w:p>
            <w:r>
              <w:t>Start</w:t>
            </w:r>
          </w:p>
        </w:tc>
        <w:tc>
          <w:tcPr>
            <w:tcW w:type="dxa" w:w="2880"/>
          </w:tcPr>
          <w:p>
            <w:r>
              <w:t>HTTPS</w:t>
            </w:r>
          </w:p>
        </w:tc>
      </w:tr>
    </w:tbl>
    <w:p>
      <w:pPr>
        <w:pStyle w:val="Heading1"/>
      </w:pPr>
      <w:r>
        <w:t>5. Technical Description</w:t>
      </w:r>
    </w:p>
    <w:p>
      <w:pPr>
        <w:pStyle w:val="Heading2"/>
      </w:pPr>
      <w:r>
        <w:t xml:space="preserve">5.1. Main Integration Process </w:t>
      </w:r>
    </w:p>
    <w:p>
      <w:r>
        <w:rPr>
          <w:b w:val="0"/>
          <w:i w:val="0"/>
          <w:sz w:val="24"/>
        </w:rPr>
        <w:t>The iFlow `Process_1`, named "Integration Process", starts with a `StartEvent` and ends with two possible `EndEvent` paths.  The initial message is enriched using the `Content Modifier 1`, then transformed via the `Message Mapping 1`, with mapping artifact `Bulk2.mmap`. The mapped message then undergoes further modification in `Content Modifier 3` before being sent via a `Request Reply 1` service task. The external call response is split by `General Splitter 1` according to the xpath `/batchPartResponse/batchChangeSetResponse/batchChangeSetPartResponse` and routed based on the `statusCode`.  Successful responses (statusCode = '201') are written using the `Write 1` datastore step, while other responses undergo further content modification with `Content Modifier 2`.</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3366"/>
              </w:rPr>
              <w:t>Component Name</w:t>
            </w:r>
          </w:p>
        </w:tc>
        <w:tc>
          <w:tcPr>
            <w:tcW w:type="dxa" w:w="2880"/>
          </w:tcPr>
          <w:p>
            <w:r>
              <w:rPr>
                <w:b/>
                <w:color w:val="003366"/>
              </w:rPr>
              <w:t>Key</w:t>
            </w:r>
          </w:p>
        </w:tc>
        <w:tc>
          <w:tcPr>
            <w:tcW w:type="dxa" w:w="2880"/>
          </w:tcPr>
          <w:p>
            <w:r>
              <w:rPr>
                <w:b/>
                <w:color w:val="003366"/>
              </w:rPr>
              <w:t>Value</w:t>
            </w:r>
          </w:p>
        </w:tc>
      </w:tr>
      <w:tr>
        <w:tc>
          <w:tcPr>
            <w:tcW w:type="dxa" w:w="2880"/>
          </w:tcPr>
          <w:p>
            <w:r>
              <w:t>Integration Process</w:t>
            </w:r>
          </w:p>
        </w:tc>
        <w:tc>
          <w:tcPr>
            <w:tcW w:type="dxa" w:w="2880"/>
          </w:tcPr>
          <w:p>
            <w:r>
              <w:t>Transaction Timeout</w:t>
            </w:r>
          </w:p>
        </w:tc>
        <w:tc>
          <w:tcPr>
            <w:tcW w:type="dxa" w:w="2880"/>
          </w:tcPr>
          <w:p>
            <w:r>
              <w:t>30</w:t>
            </w:r>
          </w:p>
        </w:tc>
      </w:tr>
      <w:tr>
        <w:tc>
          <w:tcPr>
            <w:tcW w:type="dxa" w:w="2880"/>
          </w:tcPr>
          <w:p>
            <w:r>
              <w:t>Integration Process</w:t>
            </w:r>
          </w:p>
        </w:tc>
        <w:tc>
          <w:tcPr>
            <w:tcW w:type="dxa" w:w="2880"/>
          </w:tcPr>
          <w:p>
            <w:r>
              <w:t>Component Version</w:t>
            </w:r>
          </w:p>
        </w:tc>
        <w:tc>
          <w:tcPr>
            <w:tcW w:type="dxa" w:w="2880"/>
          </w:tcPr>
          <w:p>
            <w:r>
              <w:t>1.2</w:t>
            </w:r>
          </w:p>
        </w:tc>
      </w:tr>
      <w:tr>
        <w:tc>
          <w:tcPr>
            <w:tcW w:type="dxa" w:w="2880"/>
          </w:tcPr>
          <w:p>
            <w:r>
              <w:t>Integration Process</w:t>
            </w:r>
          </w:p>
        </w:tc>
        <w:tc>
          <w:tcPr>
            <w:tcW w:type="dxa" w:w="2880"/>
          </w:tcPr>
          <w:p>
            <w:r>
              <w:t>Cmd Variant Uri</w:t>
            </w:r>
          </w:p>
        </w:tc>
        <w:tc>
          <w:tcPr>
            <w:tcW w:type="dxa" w:w="2880"/>
          </w:tcPr>
          <w:p>
            <w:r>
              <w:t>ctype::FlowElementVariant/cname::IntegrationProcess/version::1.2.1</w:t>
            </w:r>
          </w:p>
        </w:tc>
      </w:tr>
      <w:tr>
        <w:tc>
          <w:tcPr>
            <w:tcW w:type="dxa" w:w="2880"/>
          </w:tcPr>
          <w:p>
            <w:r>
              <w:t>Integration Process</w:t>
            </w:r>
          </w:p>
        </w:tc>
        <w:tc>
          <w:tcPr>
            <w:tcW w:type="dxa" w:w="2880"/>
          </w:tcPr>
          <w:p>
            <w:r>
              <w:t>Transactional Handling</w:t>
            </w:r>
          </w:p>
        </w:tc>
        <w:tc>
          <w:tcPr>
            <w:tcW w:type="dxa" w:w="2880"/>
          </w:tcPr>
          <w:p>
            <w:r>
              <w:t>Not Required</w:t>
            </w:r>
          </w:p>
        </w:tc>
      </w:tr>
    </w:tbl>
    <w:p>
      <w:pPr>
        <w:pStyle w:val="Heading3"/>
      </w:pPr>
      <w:r>
        <w:t>serviceTask Request Reply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1.0</w:t>
            </w:r>
          </w:p>
        </w:tc>
      </w:tr>
      <w:tr>
        <w:tc>
          <w:tcPr>
            <w:tcW w:type="dxa" w:w="4320"/>
          </w:tcPr>
          <w:p>
            <w:r>
              <w:t>Activity Type</w:t>
            </w:r>
          </w:p>
        </w:tc>
        <w:tc>
          <w:tcPr>
            <w:tcW w:type="dxa" w:w="4320"/>
          </w:tcPr>
          <w:p>
            <w:r>
              <w:t>ExternalCall</w:t>
            </w:r>
          </w:p>
        </w:tc>
      </w:tr>
      <w:tr>
        <w:tc>
          <w:tcPr>
            <w:tcW w:type="dxa" w:w="4320"/>
          </w:tcPr>
          <w:p>
            <w:r>
              <w:t>Cmd Variant Uri</w:t>
            </w:r>
          </w:p>
        </w:tc>
        <w:tc>
          <w:tcPr>
            <w:tcW w:type="dxa" w:w="4320"/>
          </w:tcPr>
          <w:p>
            <w:r>
              <w:t>ctype::FlowstepVariant/cname::ExternalCall/version::1.0.4</w:t>
            </w:r>
          </w:p>
        </w:tc>
      </w:tr>
    </w:tbl>
    <w:p>
      <w:pPr>
        <w:pStyle w:val="Heading3"/>
      </w:pPr>
      <w:r>
        <w:t>endEvent End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Cmd Variant Uri</w:t>
            </w:r>
          </w:p>
        </w:tc>
        <w:tc>
          <w:tcPr>
            <w:tcW w:type="dxa" w:w="4320"/>
          </w:tcPr>
          <w:p>
            <w:r>
              <w:t>ctype::FlowstepVariant/cname::MessageEndEvent/version::1.1.0</w:t>
            </w:r>
          </w:p>
        </w:tc>
      </w:tr>
    </w:tbl>
    <w:p>
      <w:pPr>
        <w:pStyle w:val="Heading3"/>
      </w:pPr>
      <w:r>
        <w:t>endEvent End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Cmd Variant Uri</w:t>
            </w:r>
          </w:p>
        </w:tc>
        <w:tc>
          <w:tcPr>
            <w:tcW w:type="dxa" w:w="4320"/>
          </w:tcPr>
          <w:p>
            <w:r>
              <w:t>ctype::FlowstepVariant/cname::MessageEndEvent/version::1.1.0</w:t>
            </w:r>
          </w:p>
        </w:tc>
      </w:tr>
    </w:tbl>
    <w:p>
      <w:pPr>
        <w:pStyle w:val="Heading3"/>
      </w:pPr>
      <w:r>
        <w:t>callActivity Content Modifier 2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expression</w:t>
            </w:r>
          </w:p>
        </w:tc>
      </w:tr>
      <w:tr>
        <w:tc>
          <w:tcPr>
            <w:tcW w:type="dxa" w:w="4320"/>
          </w:tcPr>
          <w:p>
            <w:r>
              <w:t>Property Table</w:t>
            </w:r>
          </w:p>
        </w:tc>
        <w:tc>
          <w:tcPr>
            <w:tcW w:type="dxa" w:w="4320"/>
          </w:tcPr>
          <w:p>
            <w:r>
              <w:t>&lt;row&gt;&lt;cell id='Action'&gt;Create&lt;/cell&gt;&lt;cell id='Type'&gt;xpath&lt;/cell&gt;&lt;cell id='Value'&gt;//batchChangeSetPart/A_SalesContract//A_SalesContractItemType/Material&lt;/cell&gt;&lt;cell id='Default'&gt;&lt;/cell&gt;&lt;cell id='Name'&gt;Material_Number&lt;/cell&gt;&lt;cell id='Datatype'&gt;java.lang.String&lt;/cell&gt;&lt;/row&gt;</w:t>
            </w:r>
          </w:p>
        </w:tc>
      </w:tr>
      <w:tr>
        <w:tc>
          <w:tcPr>
            <w:tcW w:type="dxa" w:w="4320"/>
          </w:tcPr>
          <w:p>
            <w:r>
              <w:t>Header Table</w:t>
            </w:r>
          </w:p>
        </w:tc>
        <w:tc>
          <w:tcPr>
            <w:tcW w:type="dxa" w:w="4320"/>
          </w:tcPr>
          <w:p>
            <w:r/>
          </w:p>
        </w:tc>
      </w:tr>
      <w:tr>
        <w:tc>
          <w:tcPr>
            <w:tcW w:type="dxa" w:w="4320"/>
          </w:tcPr>
          <w:p>
            <w:r>
              <w:t>Wrap Content</w:t>
            </w:r>
          </w:p>
        </w:tc>
        <w:tc>
          <w:tcPr>
            <w:tcW w:type="dxa" w:w="4320"/>
          </w:tcPr>
          <w:p>
            <w:r>
              <w:t>Order is not created Sucessfully ${header.Mat2}.</w:t>
              <w:br/>
              <w:t>Order is not created Sucessfully ${header.Mat2}.</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callActivity Content Modifier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constant</w:t>
            </w:r>
          </w:p>
        </w:tc>
      </w:tr>
      <w:tr>
        <w:tc>
          <w:tcPr>
            <w:tcW w:type="dxa" w:w="4320"/>
          </w:tcPr>
          <w:p>
            <w:r>
              <w:t>Property Table</w:t>
            </w:r>
          </w:p>
        </w:tc>
        <w:tc>
          <w:tcPr>
            <w:tcW w:type="dxa" w:w="4320"/>
          </w:tcPr>
          <w:p>
            <w:r/>
          </w:p>
        </w:tc>
      </w:tr>
      <w:tr>
        <w:tc>
          <w:tcPr>
            <w:tcW w:type="dxa" w:w="4320"/>
          </w:tcPr>
          <w:p>
            <w:r>
              <w:t>Header Table</w:t>
            </w:r>
          </w:p>
        </w:tc>
        <w:tc>
          <w:tcPr>
            <w:tcW w:type="dxa" w:w="4320"/>
          </w:tcPr>
          <w:p>
            <w:r/>
          </w:p>
        </w:tc>
      </w:tr>
      <w:tr>
        <w:tc>
          <w:tcPr>
            <w:tcW w:type="dxa" w:w="4320"/>
          </w:tcPr>
          <w:p>
            <w:r>
              <w:t>Wrap Content</w:t>
            </w:r>
          </w:p>
        </w:tc>
        <w:tc>
          <w:tcPr>
            <w:tcW w:type="dxa" w:w="4320"/>
          </w:tcPr>
          <w:p>
            <w:r>
              <w:t>&lt;ROOT&gt;</w:t>
              <w:br/>
              <w:t xml:space="preserve">  &lt;select_response&gt;</w:t>
              <w:br/>
              <w:t xml:space="preserve">    &lt;row&gt;</w:t>
              <w:br/>
              <w:t xml:space="preserve">      &lt;BULK_ORDER_NO&gt;16101702&lt;/BULK_ORDER_NO&gt;</w:t>
              <w:br/>
              <w:t xml:space="preserve">      &lt;BULKTYPE/&gt;</w:t>
              <w:br/>
              <w:t xml:space="preserve">      &lt;START_DATE&gt;2017-10-16T00:00:00&lt;/START_DATE&gt;</w:t>
              <w:br/>
              <w:t xml:space="preserve">      &lt;LASTEDTDT&gt;2018-10-16T00:00:00&lt;/LASTEDTDT&gt;</w:t>
              <w:br/>
              <w:t xml:space="preserve">      &lt;SAP_MATERIAL_ID&gt;TG12&lt;/SAP_MATERIAL_ID&gt;</w:t>
              <w:br/>
              <w:t xml:space="preserve">      &lt;ORDER_QTY&gt;1&lt;/ORDER_QTY&gt;</w:t>
              <w:br/>
              <w:t xml:space="preserve">      &lt;UOM&gt;EA&lt;/UOM&gt;</w:t>
              <w:br/>
              <w:t xml:space="preserve">      &lt;CURRENCY&gt;USD&lt;/CURRENCY&gt;</w:t>
              <w:br/>
              <w:t xml:space="preserve">      &lt;SOLDTO&gt;17100001&lt;/SOLDTO&gt;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&lt;row&gt;</w:t>
              <w:br/>
              <w:t xml:space="preserve">      &lt;BULK_ORDER_NO&gt;16101701&lt;/BULK_ORDER_NO&gt;</w:t>
              <w:br/>
              <w:t xml:space="preserve">      &lt;BULKTYPE/&gt;</w:t>
              <w:br/>
              <w:t xml:space="preserve">      &lt;START_DATE&gt;2017-10-16T00:00:00&lt;/START_DATE&gt;</w:t>
              <w:br/>
              <w:t xml:space="preserve">      &lt;LASTEDTDT&gt;2018-10-16T00:00:00&lt;/LASTEDTDT&gt;</w:t>
              <w:br/>
              <w:t xml:space="preserve">      &lt;SAP_MATERIAL_ID&gt;TG12&lt;/SAP_MATERIAL_ID&gt;</w:t>
              <w:br/>
              <w:t xml:space="preserve">      &lt;ORDER_QTY&gt;1&lt;/ORDER_QTY&gt;</w:t>
              <w:br/>
              <w:t xml:space="preserve">      &lt;UOM&gt;EA&lt;/UOM&gt;</w:t>
              <w:br/>
              <w:t xml:space="preserve">      &lt;CURRENCY&gt;USD&lt;/CURRENCY&gt;</w:t>
              <w:br/>
              <w:t xml:space="preserve">      &lt;SOLDTO&gt;17100001&lt;/SOLDTO&gt;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&lt;row&gt;</w:t>
              <w:br/>
              <w:t xml:space="preserve">      &lt;BULK_ORDER_NO&gt;16101703&lt;/BULK_ORDER_NO&gt;</w:t>
              <w:br/>
              <w:t xml:space="preserve">      &lt;BULKTYPE/&gt;</w:t>
              <w:br/>
              <w:t xml:space="preserve">      &lt;START_DATE&gt;2017-10-16T00:00:00&lt;/START_DATE&gt;</w:t>
              <w:br/>
              <w:t xml:space="preserve">      &lt;LASTEDTDT&gt;2018-10-16T00:00:00&lt;/LASTEDTDT&gt;</w:t>
              <w:br/>
              <w:t xml:space="preserve">      &lt;SAP_MATERIAL_ID&gt;INVALID_MAT&lt;/SAP_MATERIAL_ID&gt;</w:t>
              <w:br/>
              <w:t xml:space="preserve">      &lt;ORDER_QTY&gt;-5&lt;/ORDER_QTY&gt;</w:t>
              <w:br/>
              <w:t xml:space="preserve">      &lt;UOM&gt;ZZ&lt;/UOM&gt;</w:t>
              <w:br/>
              <w:t xml:space="preserve">      &lt;CURRENCY&gt;XXX&lt;/CURRENCY&gt;</w:t>
              <w:br/>
              <w:t xml:space="preserve">      &lt;SOLDTO&gt;00000000&lt;/SOLDTO&gt;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&lt;/select_response&gt;</w:t>
              <w:br/>
              <w:t>&lt;/ROOT&gt;</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callActivity Content Modifier 3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constant</w:t>
            </w:r>
          </w:p>
        </w:tc>
      </w:tr>
      <w:tr>
        <w:tc>
          <w:tcPr>
            <w:tcW w:type="dxa" w:w="4320"/>
          </w:tcPr>
          <w:p>
            <w:r>
              <w:t>Property Table</w:t>
            </w:r>
          </w:p>
        </w:tc>
        <w:tc>
          <w:tcPr>
            <w:tcW w:type="dxa" w:w="4320"/>
          </w:tcPr>
          <w:p>
            <w:r/>
          </w:p>
        </w:tc>
      </w:tr>
      <w:tr>
        <w:tc>
          <w:tcPr>
            <w:tcW w:type="dxa" w:w="4320"/>
          </w:tcPr>
          <w:p>
            <w:r>
              <w:t>Header Table</w:t>
            </w:r>
          </w:p>
        </w:tc>
        <w:tc>
          <w:tcPr>
            <w:tcW w:type="dxa" w:w="4320"/>
          </w:tcPr>
          <w:p>
            <w:r>
              <w:t>&lt;row&gt;&lt;cell id='Action'&gt;Create&lt;/cell&gt;&lt;cell id='Type'&gt;xpath&lt;/cell&gt;&lt;cell id='Value'&gt;//A_SalesContractItemType/Material&lt;/cell&gt;&lt;cell id='Default'&gt;&lt;/cell&gt;&lt;cell id='Name'&gt;Mat2&lt;/cell&gt;&lt;cell id='Datatype'&gt;java.lang.String&lt;/cell&gt;&lt;/row&gt;</w:t>
            </w:r>
          </w:p>
        </w:tc>
      </w:tr>
      <w:tr>
        <w:tc>
          <w:tcPr>
            <w:tcW w:type="dxa" w:w="4320"/>
          </w:tcPr>
          <w:p>
            <w:r>
              <w:t>Wrap Content</w:t>
            </w:r>
          </w:p>
        </w:tc>
        <w:tc>
          <w:tcPr>
            <w:tcW w:type="dxa" w:w="4320"/>
          </w:tcPr>
          <w:p>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exclusiveGateway Router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Activity Type</w:t>
            </w:r>
          </w:p>
        </w:tc>
        <w:tc>
          <w:tcPr>
            <w:tcW w:type="dxa" w:w="4320"/>
          </w:tcPr>
          <w:p>
            <w:r>
              <w:t>ExclusiveGateway</w:t>
            </w:r>
          </w:p>
        </w:tc>
      </w:tr>
      <w:tr>
        <w:tc>
          <w:tcPr>
            <w:tcW w:type="dxa" w:w="4320"/>
          </w:tcPr>
          <w:p>
            <w:r>
              <w:t>Cmd Variant Uri</w:t>
            </w:r>
          </w:p>
        </w:tc>
        <w:tc>
          <w:tcPr>
            <w:tcW w:type="dxa" w:w="4320"/>
          </w:tcPr>
          <w:p>
            <w:r>
              <w:t>ctype::FlowstepVariant/cname::ExclusiveGateway/version::1.1.2</w:t>
            </w:r>
          </w:p>
        </w:tc>
      </w:tr>
      <w:tr>
        <w:tc>
          <w:tcPr>
            <w:tcW w:type="dxa" w:w="4320"/>
          </w:tcPr>
          <w:p>
            <w:r>
              <w:t>Throw Exception</w:t>
            </w:r>
          </w:p>
        </w:tc>
        <w:tc>
          <w:tcPr>
            <w:tcW w:type="dxa" w:w="4320"/>
          </w:tcPr>
          <w:p>
            <w:r>
              <w:t>false</w:t>
            </w:r>
          </w:p>
        </w:tc>
      </w:tr>
    </w:tbl>
    <w:p>
      <w:pPr>
        <w:pStyle w:val="Heading3"/>
      </w:pPr>
      <w:r>
        <w:t>startEvent Start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ctype::FlowstepVariant/cname::MessageStartEvent/version::1.0</w:t>
            </w:r>
          </w:p>
        </w:tc>
      </w:tr>
    </w:tbl>
    <w:p>
      <w:pPr>
        <w:pStyle w:val="Heading3"/>
      </w:pPr>
      <w:r>
        <w:t>callActivity General Splitter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 Type</w:t>
            </w:r>
          </w:p>
        </w:tc>
        <w:tc>
          <w:tcPr>
            <w:tcW w:type="dxa" w:w="4320"/>
          </w:tcPr>
          <w:p>
            <w:r>
              <w:t>XPath</w:t>
            </w:r>
          </w:p>
        </w:tc>
      </w:tr>
      <w:tr>
        <w:tc>
          <w:tcPr>
            <w:tcW w:type="dxa" w:w="4320"/>
          </w:tcPr>
          <w:p>
            <w:r>
              <w:t>Streaming</w:t>
            </w:r>
          </w:p>
        </w:tc>
        <w:tc>
          <w:tcPr>
            <w:tcW w:type="dxa" w:w="4320"/>
          </w:tcPr>
          <w:p>
            <w:r>
              <w:t>true</w:t>
            </w:r>
          </w:p>
        </w:tc>
      </w:tr>
      <w:tr>
        <w:tc>
          <w:tcPr>
            <w:tcW w:type="dxa" w:w="4320"/>
          </w:tcPr>
          <w:p>
            <w:r>
              <w:t>Stop On Execution</w:t>
            </w:r>
          </w:p>
        </w:tc>
        <w:tc>
          <w:tcPr>
            <w:tcW w:type="dxa" w:w="4320"/>
          </w:tcPr>
          <w:p>
            <w:r>
              <w:t>true</w:t>
            </w:r>
          </w:p>
        </w:tc>
      </w:tr>
      <w:tr>
        <w:tc>
          <w:tcPr>
            <w:tcW w:type="dxa" w:w="4320"/>
          </w:tcPr>
          <w:p>
            <w:r>
              <w:t>Splitter Threads</w:t>
            </w:r>
          </w:p>
        </w:tc>
        <w:tc>
          <w:tcPr>
            <w:tcW w:type="dxa" w:w="4320"/>
          </w:tcPr>
          <w:p>
            <w:r>
              <w:t>10</w:t>
            </w:r>
          </w:p>
        </w:tc>
      </w:tr>
      <w:tr>
        <w:tc>
          <w:tcPr>
            <w:tcW w:type="dxa" w:w="4320"/>
          </w:tcPr>
          <w:p>
            <w:r>
              <w:t>Split Expr Value</w:t>
            </w:r>
          </w:p>
        </w:tc>
        <w:tc>
          <w:tcPr>
            <w:tcW w:type="dxa" w:w="4320"/>
          </w:tcPr>
          <w:p>
            <w:r>
              <w:t>/batchPartResponse/batchChangeSetResponse/batchChangeSetPartResponse</w:t>
            </w:r>
          </w:p>
        </w:tc>
      </w:tr>
      <w:tr>
        <w:tc>
          <w:tcPr>
            <w:tcW w:type="dxa" w:w="4320"/>
          </w:tcPr>
          <w:p>
            <w:r>
              <w:t>Parallel Processing</w:t>
            </w:r>
          </w:p>
        </w:tc>
        <w:tc>
          <w:tcPr>
            <w:tcW w:type="dxa" w:w="4320"/>
          </w:tcPr>
          <w:p>
            <w:r>
              <w:t>false</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Splitter</w:t>
            </w:r>
          </w:p>
        </w:tc>
      </w:tr>
      <w:tr>
        <w:tc>
          <w:tcPr>
            <w:tcW w:type="dxa" w:w="4320"/>
          </w:tcPr>
          <w:p>
            <w:r>
              <w:t>Cmd Variant Uri</w:t>
            </w:r>
          </w:p>
        </w:tc>
        <w:tc>
          <w:tcPr>
            <w:tcW w:type="dxa" w:w="4320"/>
          </w:tcPr>
          <w:p>
            <w:r>
              <w:t>ctype::FlowstepVariant/cname::GeneralSplitter/version::1.6.0</w:t>
            </w:r>
          </w:p>
        </w:tc>
      </w:tr>
      <w:tr>
        <w:tc>
          <w:tcPr>
            <w:tcW w:type="dxa" w:w="4320"/>
          </w:tcPr>
          <w:p>
            <w:r>
              <w:t>Grouping</w:t>
            </w:r>
          </w:p>
        </w:tc>
        <w:tc>
          <w:tcPr>
            <w:tcW w:type="dxa" w:w="4320"/>
          </w:tcPr>
          <w:p>
            <w:r>
              <w:t>1</w:t>
            </w:r>
          </w:p>
        </w:tc>
      </w:tr>
      <w:tr>
        <w:tc>
          <w:tcPr>
            <w:tcW w:type="dxa" w:w="4320"/>
          </w:tcPr>
          <w:p>
            <w:r>
              <w:t>Split Type</w:t>
            </w:r>
          </w:p>
        </w:tc>
        <w:tc>
          <w:tcPr>
            <w:tcW w:type="dxa" w:w="4320"/>
          </w:tcPr>
          <w:p>
            <w:r>
              <w:t>GeneralSplitter</w:t>
            </w:r>
          </w:p>
        </w:tc>
      </w:tr>
      <w:tr>
        <w:tc>
          <w:tcPr>
            <w:tcW w:type="dxa" w:w="4320"/>
          </w:tcPr>
          <w:p>
            <w:r>
              <w:t>Time Out</w:t>
            </w:r>
          </w:p>
        </w:tc>
        <w:tc>
          <w:tcPr>
            <w:tcW w:type="dxa" w:w="4320"/>
          </w:tcPr>
          <w:p>
            <w:r>
              <w:t>300</w:t>
            </w:r>
          </w:p>
        </w:tc>
      </w:tr>
    </w:tbl>
    <w:p>
      <w:pPr>
        <w:pStyle w:val="Heading3"/>
      </w:pPr>
      <w:r>
        <w:t>callActivity Message Mapping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 Source Value</w:t>
            </w:r>
          </w:p>
        </w:tc>
        <w:tc>
          <w:tcPr>
            <w:tcW w:type="dxa" w:w="4320"/>
          </w:tcPr>
          <w:p>
            <w:r/>
          </w:p>
        </w:tc>
      </w:tr>
      <w:tr>
        <w:tc>
          <w:tcPr>
            <w:tcW w:type="dxa" w:w="4320"/>
          </w:tcPr>
          <w:p>
            <w:r>
              <w:t>Mapping Type</w:t>
            </w:r>
          </w:p>
        </w:tc>
        <w:tc>
          <w:tcPr>
            <w:tcW w:type="dxa" w:w="4320"/>
          </w:tcPr>
          <w:p>
            <w:r>
              <w:t>MessageMapping</w:t>
            </w:r>
          </w:p>
        </w:tc>
      </w:tr>
      <w:tr>
        <w:tc>
          <w:tcPr>
            <w:tcW w:type="dxa" w:w="4320"/>
          </w:tcPr>
          <w:p>
            <w:r>
              <w:t>Mapping Reference</w:t>
            </w:r>
          </w:p>
        </w:tc>
        <w:tc>
          <w:tcPr>
            <w:tcW w:type="dxa" w:w="4320"/>
          </w:tcPr>
          <w:p>
            <w:r>
              <w:t>static</w:t>
            </w:r>
          </w:p>
        </w:tc>
      </w:tr>
      <w:tr>
        <w:tc>
          <w:tcPr>
            <w:tcW w:type="dxa" w:w="4320"/>
          </w:tcPr>
          <w:p>
            <w:r>
              <w:t>Mappingpath</w:t>
            </w:r>
          </w:p>
        </w:tc>
        <w:tc>
          <w:tcPr>
            <w:tcW w:type="dxa" w:w="4320"/>
          </w:tcPr>
          <w:p>
            <w:r>
              <w:t>src/main/resources/mapping/Bulk2</w:t>
            </w:r>
          </w:p>
        </w:tc>
      </w:tr>
      <w:tr>
        <w:tc>
          <w:tcPr>
            <w:tcW w:type="dxa" w:w="4320"/>
          </w:tcPr>
          <w:p>
            <w:r>
              <w:t>Component Version</w:t>
            </w:r>
          </w:p>
        </w:tc>
        <w:tc>
          <w:tcPr>
            <w:tcW w:type="dxa" w:w="4320"/>
          </w:tcPr>
          <w:p>
            <w:r>
              <w:t>1.3</w:t>
            </w:r>
          </w:p>
        </w:tc>
      </w:tr>
      <w:tr>
        <w:tc>
          <w:tcPr>
            <w:tcW w:type="dxa" w:w="4320"/>
          </w:tcPr>
          <w:p>
            <w:r>
              <w:t>Activity Type</w:t>
            </w:r>
          </w:p>
        </w:tc>
        <w:tc>
          <w:tcPr>
            <w:tcW w:type="dxa" w:w="4320"/>
          </w:tcPr>
          <w:p>
            <w:r>
              <w:t>Mapping</w:t>
            </w:r>
          </w:p>
        </w:tc>
      </w:tr>
      <w:tr>
        <w:tc>
          <w:tcPr>
            <w:tcW w:type="dxa" w:w="4320"/>
          </w:tcPr>
          <w:p>
            <w:r>
              <w:t>Cmd Variant Uri</w:t>
            </w:r>
          </w:p>
        </w:tc>
        <w:tc>
          <w:tcPr>
            <w:tcW w:type="dxa" w:w="4320"/>
          </w:tcPr>
          <w:p>
            <w:r>
              <w:t>ctype::FlowstepVariant/cname::MessageMapping/version::1.3.1</w:t>
            </w:r>
          </w:p>
        </w:tc>
      </w:tr>
      <w:tr>
        <w:tc>
          <w:tcPr>
            <w:tcW w:type="dxa" w:w="4320"/>
          </w:tcPr>
          <w:p>
            <w:r>
              <w:t>Message Mapping Bundle Id</w:t>
            </w:r>
          </w:p>
        </w:tc>
        <w:tc>
          <w:tcPr>
            <w:tcW w:type="dxa" w:w="4320"/>
          </w:tcPr>
          <w:p>
            <w:r/>
          </w:p>
        </w:tc>
      </w:tr>
    </w:tbl>
    <w:p>
      <w:pPr>
        <w:pStyle w:val="Heading3"/>
      </w:pPr>
      <w:r>
        <w:t>callActivity Write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Visibility</w:t>
            </w:r>
          </w:p>
        </w:tc>
        <w:tc>
          <w:tcPr>
            <w:tcW w:type="dxa" w:w="4320"/>
          </w:tcPr>
          <w:p>
            <w:r>
              <w:t>global</w:t>
            </w:r>
          </w:p>
        </w:tc>
      </w:tr>
      <w:tr>
        <w:tc>
          <w:tcPr>
            <w:tcW w:type="dxa" w:w="4320"/>
          </w:tcPr>
          <w:p>
            <w:r>
              <w:t>Alert</w:t>
            </w:r>
          </w:p>
        </w:tc>
        <w:tc>
          <w:tcPr>
            <w:tcW w:type="dxa" w:w="4320"/>
          </w:tcPr>
          <w:p>
            <w:r>
              <w:t>2</w:t>
            </w:r>
          </w:p>
        </w:tc>
      </w:tr>
      <w:tr>
        <w:tc>
          <w:tcPr>
            <w:tcW w:type="dxa" w:w="4320"/>
          </w:tcPr>
          <w:p>
            <w:r>
              <w:t>Encrypt</w:t>
            </w:r>
          </w:p>
        </w:tc>
        <w:tc>
          <w:tcPr>
            <w:tcW w:type="dxa" w:w="4320"/>
          </w:tcPr>
          <w:p>
            <w:r>
              <w:t>true</w:t>
            </w:r>
          </w:p>
        </w:tc>
      </w:tr>
      <w:tr>
        <w:tc>
          <w:tcPr>
            <w:tcW w:type="dxa" w:w="4320"/>
          </w:tcPr>
          <w:p>
            <w:r>
              <w:t>Expire</w:t>
            </w:r>
          </w:p>
        </w:tc>
        <w:tc>
          <w:tcPr>
            <w:tcW w:type="dxa" w:w="4320"/>
          </w:tcPr>
          <w:p>
            <w:r>
              <w:t>30</w:t>
            </w:r>
          </w:p>
        </w:tc>
      </w:tr>
      <w:tr>
        <w:tc>
          <w:tcPr>
            <w:tcW w:type="dxa" w:w="4320"/>
          </w:tcPr>
          <w:p>
            <w:r>
              <w:t>Message Id</w:t>
            </w:r>
          </w:p>
        </w:tc>
        <w:tc>
          <w:tcPr>
            <w:tcW w:type="dxa" w:w="4320"/>
          </w:tcPr>
          <w:p>
            <w:r>
              <w:t>Post_BO_SV</w:t>
            </w:r>
          </w:p>
        </w:tc>
      </w:tr>
      <w:tr>
        <w:tc>
          <w:tcPr>
            <w:tcW w:type="dxa" w:w="4320"/>
          </w:tcPr>
          <w:p>
            <w:r>
              <w:t>Component Version</w:t>
            </w:r>
          </w:p>
        </w:tc>
        <w:tc>
          <w:tcPr>
            <w:tcW w:type="dxa" w:w="4320"/>
          </w:tcPr>
          <w:p>
            <w:r>
              <w:t>1.7</w:t>
            </w:r>
          </w:p>
        </w:tc>
      </w:tr>
      <w:tr>
        <w:tc>
          <w:tcPr>
            <w:tcW w:type="dxa" w:w="4320"/>
          </w:tcPr>
          <w:p>
            <w:r>
              <w:t>Override</w:t>
            </w:r>
          </w:p>
        </w:tc>
        <w:tc>
          <w:tcPr>
            <w:tcW w:type="dxa" w:w="4320"/>
          </w:tcPr>
          <w:p>
            <w:r>
              <w:t>true</w:t>
            </w:r>
          </w:p>
        </w:tc>
      </w:tr>
      <w:tr>
        <w:tc>
          <w:tcPr>
            <w:tcW w:type="dxa" w:w="4320"/>
          </w:tcPr>
          <w:p>
            <w:r>
              <w:t>Activity Type</w:t>
            </w:r>
          </w:p>
        </w:tc>
        <w:tc>
          <w:tcPr>
            <w:tcW w:type="dxa" w:w="4320"/>
          </w:tcPr>
          <w:p>
            <w:r>
              <w:t>DBstorage</w:t>
            </w:r>
          </w:p>
        </w:tc>
      </w:tr>
      <w:tr>
        <w:tc>
          <w:tcPr>
            <w:tcW w:type="dxa" w:w="4320"/>
          </w:tcPr>
          <w:p>
            <w:r>
              <w:t>Cmd Variant Uri</w:t>
            </w:r>
          </w:p>
        </w:tc>
        <w:tc>
          <w:tcPr>
            <w:tcW w:type="dxa" w:w="4320"/>
          </w:tcPr>
          <w:p>
            <w:r>
              <w:t>ctype::FlowstepVariant/cname::put/version::1.7.1</w:t>
            </w:r>
          </w:p>
        </w:tc>
      </w:tr>
      <w:tr>
        <w:tc>
          <w:tcPr>
            <w:tcW w:type="dxa" w:w="4320"/>
          </w:tcPr>
          <w:p>
            <w:r>
              <w:t>Operation</w:t>
            </w:r>
          </w:p>
        </w:tc>
        <w:tc>
          <w:tcPr>
            <w:tcW w:type="dxa" w:w="4320"/>
          </w:tcPr>
          <w:p>
            <w:r>
              <w:t>put</w:t>
            </w:r>
          </w:p>
        </w:tc>
      </w:tr>
      <w:tr>
        <w:tc>
          <w:tcPr>
            <w:tcW w:type="dxa" w:w="4320"/>
          </w:tcPr>
          <w:p>
            <w:r>
              <w:t>Storage Name</w:t>
            </w:r>
          </w:p>
        </w:tc>
        <w:tc>
          <w:tcPr>
            <w:tcW w:type="dxa" w:w="4320"/>
          </w:tcPr>
          <w:p>
            <w:r>
              <w:t>Post_BO_SV</w:t>
            </w:r>
          </w:p>
        </w:tc>
      </w:tr>
      <w:tr>
        <w:tc>
          <w:tcPr>
            <w:tcW w:type="dxa" w:w="4320"/>
          </w:tcPr>
          <w:p>
            <w:r>
              <w:t>Include Message Headers</w:t>
            </w:r>
          </w:p>
        </w:tc>
        <w:tc>
          <w:tcPr>
            <w:tcW w:type="dxa" w:w="4320"/>
          </w:tcPr>
          <w:p>
            <w:r>
              <w:t>false</w:t>
            </w:r>
          </w:p>
        </w:tc>
      </w:tr>
    </w:tbl>
    <w:p>
      <w:pPr>
        <w:pStyle w:val="Heading3"/>
      </w:pPr>
      <w:r>
        <w:t>sequenceFlow Route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Expression Type</w:t>
            </w:r>
          </w:p>
        </w:tc>
        <w:tc>
          <w:tcPr>
            <w:tcW w:type="dxa" w:w="4320"/>
          </w:tcPr>
          <w:p>
            <w:r>
              <w:t>XML</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ctype::FlowstepVariant/cname::GatewayRoute/version::1.0.0</w:t>
            </w:r>
          </w:p>
        </w:tc>
      </w:tr>
    </w:tbl>
    <w:p>
      <w:pPr>
        <w:pStyle w:val="Heading3"/>
      </w:pPr>
      <w:r>
        <w:t>sequenceFlow Route 2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Expression Type</w:t>
            </w:r>
          </w:p>
        </w:tc>
        <w:tc>
          <w:tcPr>
            <w:tcW w:type="dxa" w:w="4320"/>
          </w:tcPr>
          <w:p>
            <w:r>
              <w:t>XML</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ctype::FlowstepVariant/cname::GatewayRoute/version::1.0.0</w:t>
            </w:r>
          </w:p>
        </w:tc>
      </w:tr>
    </w:tbl>
    <w:p>
      <w:pPr>
        <w:pStyle w:val="Heading2"/>
      </w:pPr>
      <w:r>
        <w:t xml:space="preserve">5.2. Local Integration Process </w:t>
      </w:r>
    </w:p>
    <w:p>
      <w:r>
        <w:rPr>
          <w:b w:val="0"/>
          <w:i w:val="0"/>
          <w:sz w:val="24"/>
        </w:rPr>
        <w:t>```xml</w:t>
        <w:br/>
        <w:t>&lt;integrationFlow id="Process_1"&gt;</w:t>
        <w:br/>
        <w:t xml:space="preserve">  &lt;receiver ref="Receiver_System" receiverType="BusinessSystem"/&gt;</w:t>
        <w:br/>
        <w:t xml:space="preserve">  &lt;sender ref="Sender_System" senderType="BusinessSystem"/&gt;</w:t>
        <w:br/>
        <w:t xml:space="preserve">  &lt;sequence id="Sequence_1"&gt;</w:t>
        <w:br/>
        <w:t xml:space="preserve">    &lt;contentModifier id="ContentModifier_1"&gt;</w:t>
        <w:br/>
        <w:t xml:space="preserve">      &lt;property name="prop1" expression="constant" value="value1"/&gt;</w:t>
        <w:br/>
        <w:t xml:space="preserve">    &lt;/contentModifier&gt;</w:t>
        <w:br/>
        <w:t xml:space="preserve">    &lt;router id="Router_1"&gt;</w:t>
        <w:br/>
        <w:t xml:space="preserve">      &lt;case id="Case_1" expression="${header.condition} == 'true'"&gt;</w:t>
        <w:br/>
        <w:t xml:space="preserve">        &lt;script id="Script_1" scriptType="Groovy"&gt;println "Case 1 triggered"&lt;/script&gt;</w:t>
        <w:br/>
        <w:t xml:space="preserve">      &lt;/case&gt;</w:t>
        <w:br/>
        <w:t xml:space="preserve">      &lt;default&gt;</w:t>
        <w:br/>
        <w:t xml:space="preserve">        &lt;aggregate id="Aggregate_1"&gt;</w:t>
        <w:br/>
        <w:t xml:space="preserve">          &lt;strategy type="Replace"/&gt;</w:t>
        <w:br/>
        <w:t xml:space="preserve">          &lt;completionSize expression="10"/&gt;</w:t>
        <w:br/>
        <w:t xml:space="preserve">        &lt;/aggregate&gt;</w:t>
        <w:br/>
        <w:t xml:space="preserve">      &lt;/default&gt;</w:t>
        <w:br/>
        <w:t xml:space="preserve">    &lt;/router&gt;</w:t>
        <w:br/>
        <w:t xml:space="preserve">    &lt;requestReply id="RequestReply_1"&gt;</w:t>
        <w:br/>
        <w:t xml:space="preserve">      &lt;target ref="Target_System" connection="Connection_1"/&gt;</w:t>
        <w:br/>
        <w:t xml:space="preserve">    &lt;/requestReply&gt;</w:t>
        <w:br/>
        <w:t xml:space="preserve">  &lt;/sequence&gt;</w:t>
        <w:br/>
        <w:t>&lt;/integrationFlow&gt;</w:t>
        <w:br/>
        <w:t>```</w:t>
        <w:br/>
        <w:t>The iFlow `Process_1` integrates `Sender_System` and `Receiver_System`.  `Sequence_1` orchestrates the core logic, starting with `ContentModifier_1` which sets a property.  A `Router_1` conditionally executes a Groovy script (`Script_1`) based on the `header.condition`. If the condition is false, `Aggregate_1` collects messages with a Replace strategy until completion size is reached.  Finally, `RequestReply_1` sends a request to `Target_System` using `Connection_1`.</w:t>
        <w:br/>
      </w:r>
    </w:p>
    <w:p>
      <w:r>
        <w:rPr>
          <w:b w:val="0"/>
          <w:i w:val="0"/>
          <w:sz w:val="24"/>
        </w:rPr>
        <w:t>No process with id='Process_1' found.</w:t>
      </w:r>
    </w:p>
    <w:p>
      <w:pPr>
        <w:pStyle w:val="Heading2"/>
      </w:pPr>
      <w:r>
        <w:t>5.3. Sender</w:t>
      </w:r>
    </w:p>
    <w:p>
      <w:r>
        <w:rPr>
          <w:b w:val="0"/>
          <w:i w:val="0"/>
          <w:sz w:val="24"/>
        </w:rPr>
        <w:t>The Sender endpoint in this SAP iFlow is configured to receive HTTPS messages at the `/post_bulk/order_sv` URL path. The system identifier is "Sender", and the transport and component type are both HTTPS, version 1.5. The endpoint employs role-based authentication, requiring the `ESBMessaging.send` user role. The maximum allowed body size is 40. This endpoint likely serves as a receiving point for external systems to submit bulk order data.</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Type</w:t>
            </w:r>
          </w:p>
        </w:tc>
        <w:tc>
          <w:tcPr>
            <w:tcW w:type="dxa" w:w="4320"/>
          </w:tcPr>
          <w:p>
            <w:r>
              <w:t>HTTPS</w:t>
            </w:r>
          </w:p>
        </w:tc>
      </w:tr>
      <w:tr>
        <w:tc>
          <w:tcPr>
            <w:tcW w:type="dxa" w:w="4320"/>
          </w:tcPr>
          <w:p>
            <w:r>
              <w:t>Description</w:t>
            </w:r>
          </w:p>
        </w:tc>
        <w:tc>
          <w:tcPr>
            <w:tcW w:type="dxa" w:w="4320"/>
          </w:tcPr>
          <w:p>
            <w:r/>
          </w:p>
        </w:tc>
      </w:tr>
      <w:tr>
        <w:tc>
          <w:tcPr>
            <w:tcW w:type="dxa" w:w="4320"/>
          </w:tcPr>
          <w:p>
            <w:r>
              <w:t>Maximum Body Size</w:t>
            </w:r>
          </w:p>
        </w:tc>
        <w:tc>
          <w:tcPr>
            <w:tcW w:type="dxa" w:w="4320"/>
          </w:tcPr>
          <w:p>
            <w:r>
              <w:t>40</w:t>
            </w:r>
          </w:p>
        </w:tc>
      </w:tr>
      <w:tr>
        <w:tc>
          <w:tcPr>
            <w:tcW w:type="dxa" w:w="4320"/>
          </w:tcPr>
          <w:p>
            <w:r>
              <w:t>Component N S</w:t>
            </w:r>
          </w:p>
        </w:tc>
        <w:tc>
          <w:tcPr>
            <w:tcW w:type="dxa" w:w="4320"/>
          </w:tcPr>
          <w:p>
            <w:r>
              <w:t>sap</w:t>
            </w:r>
          </w:p>
        </w:tc>
      </w:tr>
      <w:tr>
        <w:tc>
          <w:tcPr>
            <w:tcW w:type="dxa" w:w="4320"/>
          </w:tcPr>
          <w:p>
            <w:r>
              <w:t>Component Version</w:t>
            </w:r>
          </w:p>
        </w:tc>
        <w:tc>
          <w:tcPr>
            <w:tcW w:type="dxa" w:w="4320"/>
          </w:tcPr>
          <w:p>
            <w:r>
              <w:t>1.5</w:t>
            </w:r>
          </w:p>
        </w:tc>
      </w:tr>
      <w:tr>
        <w:tc>
          <w:tcPr>
            <w:tcW w:type="dxa" w:w="4320"/>
          </w:tcPr>
          <w:p>
            <w:r>
              <w:t>Url Path</w:t>
            </w:r>
          </w:p>
        </w:tc>
        <w:tc>
          <w:tcPr>
            <w:tcW w:type="dxa" w:w="4320"/>
          </w:tcPr>
          <w:p>
            <w:r>
              <w:t>/post_bulk/order_sv</w:t>
            </w:r>
          </w:p>
        </w:tc>
      </w:tr>
      <w:tr>
        <w:tc>
          <w:tcPr>
            <w:tcW w:type="dxa" w:w="4320"/>
          </w:tcPr>
          <w:p>
            <w:r>
              <w:t>Name</w:t>
            </w:r>
          </w:p>
        </w:tc>
        <w:tc>
          <w:tcPr>
            <w:tcW w:type="dxa" w:w="4320"/>
          </w:tcPr>
          <w:p>
            <w:r>
              <w:t>HTTPS</w:t>
            </w:r>
          </w:p>
        </w:tc>
      </w:tr>
      <w:tr>
        <w:tc>
          <w:tcPr>
            <w:tcW w:type="dxa" w:w="4320"/>
          </w:tcPr>
          <w:p>
            <w:r>
              <w:t>Transport Protocol Version</w:t>
            </w:r>
          </w:p>
        </w:tc>
        <w:tc>
          <w:tcPr>
            <w:tcW w:type="dxa" w:w="4320"/>
          </w:tcPr>
          <w:p>
            <w:r>
              <w:t>1.5.2</w:t>
            </w:r>
          </w:p>
        </w:tc>
      </w:tr>
      <w:tr>
        <w:tc>
          <w:tcPr>
            <w:tcW w:type="dxa" w:w="4320"/>
          </w:tcPr>
          <w:p>
            <w:r>
              <w:t>Component S W C V Name</w:t>
            </w:r>
          </w:p>
        </w:tc>
        <w:tc>
          <w:tcPr>
            <w:tcW w:type="dxa" w:w="4320"/>
          </w:tcPr>
          <w:p>
            <w:r>
              <w:t>external</w:t>
            </w:r>
          </w:p>
        </w:tc>
      </w:tr>
      <w:tr>
        <w:tc>
          <w:tcPr>
            <w:tcW w:type="dxa" w:w="4320"/>
          </w:tcPr>
          <w:p>
            <w:r>
              <w:t>System</w:t>
            </w:r>
          </w:p>
        </w:tc>
        <w:tc>
          <w:tcPr>
            <w:tcW w:type="dxa" w:w="4320"/>
          </w:tcPr>
          <w:p>
            <w:r>
              <w:t>Sender</w:t>
            </w:r>
          </w:p>
        </w:tc>
      </w:tr>
      <w:tr>
        <w:tc>
          <w:tcPr>
            <w:tcW w:type="dxa" w:w="4320"/>
          </w:tcPr>
          <w:p>
            <w:r>
              <w:t>Xsrf Protection</w:t>
            </w:r>
          </w:p>
        </w:tc>
        <w:tc>
          <w:tcPr>
            <w:tcW w:type="dxa" w:w="4320"/>
          </w:tcPr>
          <w:p>
            <w:r>
              <w:t>0</w:t>
            </w:r>
          </w:p>
        </w:tc>
      </w:tr>
      <w:tr>
        <w:tc>
          <w:tcPr>
            <w:tcW w:type="dxa" w:w="4320"/>
          </w:tcPr>
          <w:p>
            <w:r>
              <w:t>Transport Protocol</w:t>
            </w:r>
          </w:p>
        </w:tc>
        <w:tc>
          <w:tcPr>
            <w:tcW w:type="dxa" w:w="4320"/>
          </w:tcPr>
          <w:p>
            <w:r>
              <w:t>HTTPS</w:t>
            </w:r>
          </w:p>
        </w:tc>
      </w:tr>
      <w:tr>
        <w:tc>
          <w:tcPr>
            <w:tcW w:type="dxa" w:w="4320"/>
          </w:tcPr>
          <w:p>
            <w:r>
              <w:t>Cmd Variant Uri</w:t>
            </w:r>
          </w:p>
        </w:tc>
        <w:tc>
          <w:tcPr>
            <w:tcW w:type="dxa" w:w="4320"/>
          </w:tcPr>
          <w:p>
            <w:r>
              <w:t>ctype::AdapterVariant/cname::sap:HTTPS/tp::HTTPS/mp::None/direction::Sender/version::1.5.2</w:t>
            </w:r>
          </w:p>
        </w:tc>
      </w:tr>
      <w:tr>
        <w:tc>
          <w:tcPr>
            <w:tcW w:type="dxa" w:w="4320"/>
          </w:tcPr>
          <w:p>
            <w:r>
              <w:t>User Role</w:t>
            </w:r>
          </w:p>
        </w:tc>
        <w:tc>
          <w:tcPr>
            <w:tcW w:type="dxa" w:w="4320"/>
          </w:tcPr>
          <w:p>
            <w:r>
              <w:t>ESBMessaging.send</w:t>
            </w:r>
          </w:p>
        </w:tc>
      </w:tr>
      <w:tr>
        <w:tc>
          <w:tcPr>
            <w:tcW w:type="dxa" w:w="4320"/>
          </w:tcPr>
          <w:p>
            <w:r>
              <w:t>Sender Auth Type</w:t>
            </w:r>
          </w:p>
        </w:tc>
        <w:tc>
          <w:tcPr>
            <w:tcW w:type="dxa" w:w="4320"/>
          </w:tcPr>
          <w:p>
            <w:r>
              <w:t>RoleBased</w:t>
            </w:r>
          </w:p>
        </w:tc>
      </w:tr>
      <w:tr>
        <w:tc>
          <w:tcPr>
            <w:tcW w:type="dxa" w:w="4320"/>
          </w:tcPr>
          <w:p>
            <w:r>
              <w:t>Message Protocol</w:t>
            </w:r>
          </w:p>
        </w:tc>
        <w:tc>
          <w:tcPr>
            <w:tcW w:type="dxa" w:w="4320"/>
          </w:tcPr>
          <w:p>
            <w:r>
              <w:t>None</w:t>
            </w:r>
          </w:p>
        </w:tc>
      </w:tr>
      <w:tr>
        <w:tc>
          <w:tcPr>
            <w:tcW w:type="dxa" w:w="4320"/>
          </w:tcPr>
          <w:p>
            <w:r>
              <w:t>Message Protocol Version</w:t>
            </w:r>
          </w:p>
        </w:tc>
        <w:tc>
          <w:tcPr>
            <w:tcW w:type="dxa" w:w="4320"/>
          </w:tcPr>
          <w:p>
            <w:r>
              <w:t>1.5.2</w:t>
            </w:r>
          </w:p>
        </w:tc>
      </w:tr>
      <w:tr>
        <w:tc>
          <w:tcPr>
            <w:tcW w:type="dxa" w:w="4320"/>
          </w:tcPr>
          <w:p>
            <w:r>
              <w:t>Component S W C V Id</w:t>
            </w:r>
          </w:p>
        </w:tc>
        <w:tc>
          <w:tcPr>
            <w:tcW w:type="dxa" w:w="4320"/>
          </w:tcPr>
          <w:p>
            <w:r>
              <w:t>1.5.2</w:t>
            </w:r>
          </w:p>
        </w:tc>
      </w:tr>
      <w:tr>
        <w:tc>
          <w:tcPr>
            <w:tcW w:type="dxa" w:w="4320"/>
          </w:tcPr>
          <w:p>
            <w:r>
              <w:t>Direction</w:t>
            </w:r>
          </w:p>
        </w:tc>
        <w:tc>
          <w:tcPr>
            <w:tcW w:type="dxa" w:w="4320"/>
          </w:tcPr>
          <w:p>
            <w:r>
              <w:t>Sender</w:t>
            </w:r>
          </w:p>
        </w:tc>
      </w:tr>
      <w:tr>
        <w:tc>
          <w:tcPr>
            <w:tcW w:type="dxa" w:w="4320"/>
          </w:tcPr>
          <w:p>
            <w:r>
              <w:t>Client Certificates</w:t>
            </w:r>
          </w:p>
        </w:tc>
        <w:tc>
          <w:tcPr>
            <w:tcW w:type="dxa" w:w="4320"/>
          </w:tcPr>
          <w:p>
            <w:r/>
          </w:p>
        </w:tc>
      </w:tr>
    </w:tbl>
    <w:p>
      <w:pPr>
        <w:pStyle w:val="Heading2"/>
      </w:pPr>
      <w:r>
        <w:t>5.4. Receiver</w:t>
      </w:r>
    </w:p>
    <w:p>
      <w:r>
        <w:rPr>
          <w:b w:val="0"/>
          <w:i w:val="0"/>
          <w:sz w:val="24"/>
        </w:rPr>
        <w:t>The receiver is an OData V2 adapter (sap:HCIOData) using HTTP, version 1.25.0, configured to interact with the OData service `API_SALES_CONTRACT_SRV` at `http://sentrydev:44300/sap/opu/odata/sap/API_SALES_CONTRACT_SRV` to perform a Create (POST) operation. It uses Basic Authentication with credentials alias 'UST_S4_Cred' and connects through a SAP Cloud Connector proxy (sapcc) with SCC location ID 'UST-OPTUM-CPI'.  TLS Session Reuse is enabled. The Content Type is specified as `application/atom+xml`, and batch processing is enabled. The receiver also allows attachments and uses an EDMX file located at `edmx/sentrydev_44300_sap_opu_odata_sap_API_SALES_CONTRACT_SRV.edmx` for metadata.</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Description</w:t>
            </w:r>
          </w:p>
        </w:tc>
        <w:tc>
          <w:tcPr>
            <w:tcW w:type="dxa" w:w="4320"/>
          </w:tcPr>
          <w:p>
            <w:r/>
          </w:p>
        </w:tc>
      </w:tr>
      <w:tr>
        <w:tc>
          <w:tcPr>
            <w:tcW w:type="dxa" w:w="4320"/>
          </w:tcPr>
          <w:p>
            <w:r>
              <w:t>Pagination</w:t>
            </w:r>
          </w:p>
        </w:tc>
        <w:tc>
          <w:tcPr>
            <w:tcW w:type="dxa" w:w="4320"/>
          </w:tcPr>
          <w:p>
            <w:r>
              <w:t>0</w:t>
            </w:r>
          </w:p>
        </w:tc>
      </w:tr>
      <w:tr>
        <w:tc>
          <w:tcPr>
            <w:tcW w:type="dxa" w:w="4320"/>
          </w:tcPr>
          <w:p>
            <w:r>
              <w:t>Odata Cert Auth Private Key Alias</w:t>
            </w:r>
          </w:p>
        </w:tc>
        <w:tc>
          <w:tcPr>
            <w:tcW w:type="dxa" w:w="4320"/>
          </w:tcPr>
          <w:p>
            <w:r/>
          </w:p>
        </w:tc>
      </w:tr>
      <w:tr>
        <w:tc>
          <w:tcPr>
            <w:tcW w:type="dxa" w:w="4320"/>
          </w:tcPr>
          <w:p>
            <w:r>
              <w:t>Api Artifact Type</w:t>
            </w:r>
          </w:p>
        </w:tc>
        <w:tc>
          <w:tcPr>
            <w:tcW w:type="dxa" w:w="4320"/>
          </w:tcPr>
          <w:p>
            <w:r/>
          </w:p>
        </w:tc>
      </w:tr>
      <w:tr>
        <w:tc>
          <w:tcPr>
            <w:tcW w:type="dxa" w:w="4320"/>
          </w:tcPr>
          <w:p>
            <w:r>
              <w:t>Provider Auth</w:t>
            </w:r>
          </w:p>
        </w:tc>
        <w:tc>
          <w:tcPr>
            <w:tcW w:type="dxa" w:w="4320"/>
          </w:tcPr>
          <w:p>
            <w:r/>
          </w:p>
        </w:tc>
      </w:tr>
      <w:tr>
        <w:tc>
          <w:tcPr>
            <w:tcW w:type="dxa" w:w="4320"/>
          </w:tcPr>
          <w:p>
            <w:r>
              <w:t>Component N S</w:t>
            </w:r>
          </w:p>
        </w:tc>
        <w:tc>
          <w:tcPr>
            <w:tcW w:type="dxa" w:w="4320"/>
          </w:tcPr>
          <w:p>
            <w:r>
              <w:t>sap</w:t>
            </w:r>
          </w:p>
        </w:tc>
      </w:tr>
      <w:tr>
        <w:tc>
          <w:tcPr>
            <w:tcW w:type="dxa" w:w="4320"/>
          </w:tcPr>
          <w:p>
            <w:r>
              <w:t>Resource Path</w:t>
            </w:r>
          </w:p>
        </w:tc>
        <w:tc>
          <w:tcPr>
            <w:tcW w:type="dxa" w:w="4320"/>
          </w:tcPr>
          <w:p>
            <w:r>
              <w:t>A_SalesContract</w:t>
            </w:r>
          </w:p>
        </w:tc>
      </w:tr>
      <w:tr>
        <w:tc>
          <w:tcPr>
            <w:tcW w:type="dxa" w:w="4320"/>
          </w:tcPr>
          <w:p>
            <w:r>
              <w:t>Custom Query Options</w:t>
            </w:r>
          </w:p>
        </w:tc>
        <w:tc>
          <w:tcPr>
            <w:tcW w:type="dxa" w:w="4320"/>
          </w:tcPr>
          <w:p>
            <w:r/>
          </w:p>
        </w:tc>
      </w:tr>
      <w:tr>
        <w:tc>
          <w:tcPr>
            <w:tcW w:type="dxa" w:w="4320"/>
          </w:tcPr>
          <w:p>
            <w:r>
              <w:t>Metadata Allowed U R I Params</w:t>
            </w:r>
          </w:p>
        </w:tc>
        <w:tc>
          <w:tcPr>
            <w:tcW w:type="dxa" w:w="4320"/>
          </w:tcPr>
          <w:p>
            <w:r/>
          </w:p>
        </w:tc>
      </w:tr>
      <w:tr>
        <w:tc>
          <w:tcPr>
            <w:tcW w:type="dxa" w:w="4320"/>
          </w:tcPr>
          <w:p>
            <w:r>
              <w:t>Name</w:t>
            </w:r>
          </w:p>
        </w:tc>
        <w:tc>
          <w:tcPr>
            <w:tcW w:type="dxa" w:w="4320"/>
          </w:tcPr>
          <w:p>
            <w:r>
              <w:t>OData</w:t>
            </w:r>
          </w:p>
        </w:tc>
      </w:tr>
      <w:tr>
        <w:tc>
          <w:tcPr>
            <w:tcW w:type="dxa" w:w="4320"/>
          </w:tcPr>
          <w:p>
            <w:r>
              <w:t>Internet Proxy Type</w:t>
            </w:r>
          </w:p>
        </w:tc>
        <w:tc>
          <w:tcPr>
            <w:tcW w:type="dxa" w:w="4320"/>
          </w:tcPr>
          <w:p>
            <w:r/>
          </w:p>
        </w:tc>
      </w:tr>
      <w:tr>
        <w:tc>
          <w:tcPr>
            <w:tcW w:type="dxa" w:w="4320"/>
          </w:tcPr>
          <w:p>
            <w:r>
              <w:t>Transport Protocol Version</w:t>
            </w:r>
          </w:p>
        </w:tc>
        <w:tc>
          <w:tcPr>
            <w:tcW w:type="dxa" w:w="4320"/>
          </w:tcPr>
          <w:p>
            <w:r>
              <w:t>1.25.0</w:t>
            </w:r>
          </w:p>
        </w:tc>
      </w:tr>
      <w:tr>
        <w:tc>
          <w:tcPr>
            <w:tcW w:type="dxa" w:w="4320"/>
          </w:tcPr>
          <w:p>
            <w:r>
              <w:t>Proxy Port</w:t>
            </w:r>
          </w:p>
        </w:tc>
        <w:tc>
          <w:tcPr>
            <w:tcW w:type="dxa" w:w="4320"/>
          </w:tcPr>
          <w:p>
            <w:r/>
          </w:p>
        </w:tc>
      </w:tr>
      <w:tr>
        <w:tc>
          <w:tcPr>
            <w:tcW w:type="dxa" w:w="4320"/>
          </w:tcPr>
          <w:p>
            <w:r>
              <w:t>Component S W C V Name</w:t>
            </w:r>
          </w:p>
        </w:tc>
        <w:tc>
          <w:tcPr>
            <w:tcW w:type="dxa" w:w="4320"/>
          </w:tcPr>
          <w:p>
            <w:r>
              <w:t>external</w:t>
            </w:r>
          </w:p>
        </w:tc>
      </w:tr>
      <w:tr>
        <w:tc>
          <w:tcPr>
            <w:tcW w:type="dxa" w:w="4320"/>
          </w:tcPr>
          <w:p>
            <w:r>
              <w:t>Enable M P L Attachments</w:t>
            </w:r>
          </w:p>
        </w:tc>
        <w:tc>
          <w:tcPr>
            <w:tcW w:type="dxa" w:w="4320"/>
          </w:tcPr>
          <w:p>
            <w:r>
              <w:t>true</w:t>
            </w:r>
          </w:p>
        </w:tc>
      </w:tr>
      <w:tr>
        <w:tc>
          <w:tcPr>
            <w:tcW w:type="dxa" w:w="4320"/>
          </w:tcPr>
          <w:p>
            <w:r>
              <w:t>Receive Time Out</w:t>
            </w:r>
          </w:p>
        </w:tc>
        <w:tc>
          <w:tcPr>
            <w:tcW w:type="dxa" w:w="4320"/>
          </w:tcPr>
          <w:p>
            <w:r>
              <w:t>1</w:t>
            </w:r>
          </w:p>
        </w:tc>
      </w:tr>
      <w:tr>
        <w:tc>
          <w:tcPr>
            <w:tcW w:type="dxa" w:w="4320"/>
          </w:tcPr>
          <w:p>
            <w:r>
              <w:t>Alias</w:t>
            </w:r>
          </w:p>
        </w:tc>
        <w:tc>
          <w:tcPr>
            <w:tcW w:type="dxa" w:w="4320"/>
          </w:tcPr>
          <w:p>
            <w:r>
              <w:t>UST_S4_Cred</w:t>
            </w:r>
          </w:p>
        </w:tc>
      </w:tr>
      <w:tr>
        <w:tc>
          <w:tcPr>
            <w:tcW w:type="dxa" w:w="4320"/>
          </w:tcPr>
          <w:p>
            <w:r>
              <w:t>Content Type</w:t>
            </w:r>
          </w:p>
        </w:tc>
        <w:tc>
          <w:tcPr>
            <w:tcW w:type="dxa" w:w="4320"/>
          </w:tcPr>
          <w:p>
            <w:r>
              <w:t>application/atom+xml</w:t>
            </w:r>
          </w:p>
        </w:tc>
      </w:tr>
      <w:tr>
        <w:tc>
          <w:tcPr>
            <w:tcW w:type="dxa" w:w="4320"/>
          </w:tcPr>
          <w:p>
            <w:r>
              <w:t>Component S W C V Id</w:t>
            </w:r>
          </w:p>
        </w:tc>
        <w:tc>
          <w:tcPr>
            <w:tcW w:type="dxa" w:w="4320"/>
          </w:tcPr>
          <w:p>
            <w:r>
              <w:t>1.25.0</w:t>
            </w:r>
          </w:p>
        </w:tc>
      </w:tr>
      <w:tr>
        <w:tc>
          <w:tcPr>
            <w:tcW w:type="dxa" w:w="4320"/>
          </w:tcPr>
          <w:p>
            <w:r>
              <w:t>Provider Name</w:t>
            </w:r>
          </w:p>
        </w:tc>
        <w:tc>
          <w:tcPr>
            <w:tcW w:type="dxa" w:w="4320"/>
          </w:tcPr>
          <w:p>
            <w:r/>
          </w:p>
        </w:tc>
      </w:tr>
      <w:tr>
        <w:tc>
          <w:tcPr>
            <w:tcW w:type="dxa" w:w="4320"/>
          </w:tcPr>
          <w:p>
            <w:r>
              <w:t>Message Protocol</w:t>
            </w:r>
          </w:p>
        </w:tc>
        <w:tc>
          <w:tcPr>
            <w:tcW w:type="dxa" w:w="4320"/>
          </w:tcPr>
          <w:p>
            <w:r>
              <w:t>OData V2</w:t>
            </w:r>
          </w:p>
        </w:tc>
      </w:tr>
      <w:tr>
        <w:tc>
          <w:tcPr>
            <w:tcW w:type="dxa" w:w="4320"/>
          </w:tcPr>
          <w:p>
            <w:r>
              <w:t>Direction</w:t>
            </w:r>
          </w:p>
        </w:tc>
        <w:tc>
          <w:tcPr>
            <w:tcW w:type="dxa" w:w="4320"/>
          </w:tcPr>
          <w:p>
            <w:r>
              <w:t>Receiver</w:t>
            </w:r>
          </w:p>
        </w:tc>
      </w:tr>
      <w:tr>
        <w:tc>
          <w:tcPr>
            <w:tcW w:type="dxa" w:w="4320"/>
          </w:tcPr>
          <w:p>
            <w:r>
              <w:t>Scc Location Id</w:t>
            </w:r>
          </w:p>
        </w:tc>
        <w:tc>
          <w:tcPr>
            <w:tcW w:type="dxa" w:w="4320"/>
          </w:tcPr>
          <w:p>
            <w:r>
              <w:t>UST-OPTUM-CPI</w:t>
            </w:r>
          </w:p>
        </w:tc>
      </w:tr>
      <w:tr>
        <w:tc>
          <w:tcPr>
            <w:tcW w:type="dxa" w:w="4320"/>
          </w:tcPr>
          <w:p>
            <w:r>
              <w:t>Metadata Allowed Headers</w:t>
            </w:r>
          </w:p>
        </w:tc>
        <w:tc>
          <w:tcPr>
            <w:tcW w:type="dxa" w:w="4320"/>
          </w:tcPr>
          <w:p>
            <w:r/>
          </w:p>
        </w:tc>
      </w:tr>
      <w:tr>
        <w:tc>
          <w:tcPr>
            <w:tcW w:type="dxa" w:w="4320"/>
          </w:tcPr>
          <w:p>
            <w:r>
              <w:t>Component Type</w:t>
            </w:r>
          </w:p>
        </w:tc>
        <w:tc>
          <w:tcPr>
            <w:tcW w:type="dxa" w:w="4320"/>
          </w:tcPr>
          <w:p>
            <w:r>
              <w:t>HCIOData</w:t>
            </w:r>
          </w:p>
        </w:tc>
      </w:tr>
      <w:tr>
        <w:tc>
          <w:tcPr>
            <w:tcW w:type="dxa" w:w="4320"/>
          </w:tcPr>
          <w:p>
            <w:r>
              <w:t>Address</w:t>
            </w:r>
          </w:p>
        </w:tc>
        <w:tc>
          <w:tcPr>
            <w:tcW w:type="dxa" w:w="4320"/>
          </w:tcPr>
          <w:p>
            <w:r>
              <w:t>http://sentrydev:44300/sap/opu/odata/sap/API_SALES_CONTRACT_SRV</w:t>
            </w:r>
          </w:p>
        </w:tc>
      </w:tr>
      <w:tr>
        <w:tc>
          <w:tcPr>
            <w:tcW w:type="dxa" w:w="4320"/>
          </w:tcPr>
          <w:p>
            <w:r>
              <w:t>Query Options</w:t>
            </w:r>
          </w:p>
        </w:tc>
        <w:tc>
          <w:tcPr>
            <w:tcW w:type="dxa" w:w="4320"/>
          </w:tcPr>
          <w:p>
            <w:r/>
          </w:p>
        </w:tc>
      </w:tr>
      <w:tr>
        <w:tc>
          <w:tcPr>
            <w:tcW w:type="dxa" w:w="4320"/>
          </w:tcPr>
          <w:p>
            <w:r>
              <w:t>Proxy Type</w:t>
            </w:r>
          </w:p>
        </w:tc>
        <w:tc>
          <w:tcPr>
            <w:tcW w:type="dxa" w:w="4320"/>
          </w:tcPr>
          <w:p>
            <w:r>
              <w:t>sapcc</w:t>
            </w:r>
          </w:p>
        </w:tc>
      </w:tr>
      <w:tr>
        <w:tc>
          <w:tcPr>
            <w:tcW w:type="dxa" w:w="4320"/>
          </w:tcPr>
          <w:p>
            <w:r>
              <w:t>Is C S R F Enabled</w:t>
            </w:r>
          </w:p>
        </w:tc>
        <w:tc>
          <w:tcPr>
            <w:tcW w:type="dxa" w:w="4320"/>
          </w:tcPr>
          <w:p>
            <w:r>
              <w:t>false</w:t>
            </w:r>
          </w:p>
        </w:tc>
      </w:tr>
      <w:tr>
        <w:tc>
          <w:tcPr>
            <w:tcW w:type="dxa" w:w="4320"/>
          </w:tcPr>
          <w:p>
            <w:r>
              <w:t>Component Version</w:t>
            </w:r>
          </w:p>
        </w:tc>
        <w:tc>
          <w:tcPr>
            <w:tcW w:type="dxa" w:w="4320"/>
          </w:tcPr>
          <w:p>
            <w:r>
              <w:t>1.25</w:t>
            </w:r>
          </w:p>
        </w:tc>
      </w:tr>
      <w:tr>
        <w:tc>
          <w:tcPr>
            <w:tcW w:type="dxa" w:w="4320"/>
          </w:tcPr>
          <w:p>
            <w:r>
              <w:t>Proxy Host</w:t>
            </w:r>
          </w:p>
        </w:tc>
        <w:tc>
          <w:tcPr>
            <w:tcW w:type="dxa" w:w="4320"/>
          </w:tcPr>
          <w:p>
            <w:r/>
          </w:p>
        </w:tc>
      </w:tr>
      <w:tr>
        <w:tc>
          <w:tcPr>
            <w:tcW w:type="dxa" w:w="4320"/>
          </w:tcPr>
          <w:p>
            <w:r>
              <w:t>Edmx File Path</w:t>
            </w:r>
          </w:p>
        </w:tc>
        <w:tc>
          <w:tcPr>
            <w:tcW w:type="dxa" w:w="4320"/>
          </w:tcPr>
          <w:p>
            <w:r>
              <w:t>edmx/sentrydev_44300_sap_opu_odata_sap_API_SALES_CONTRACT_SRV.edmx</w:t>
            </w:r>
          </w:p>
        </w:tc>
      </w:tr>
      <w:tr>
        <w:tc>
          <w:tcPr>
            <w:tcW w:type="dxa" w:w="4320"/>
          </w:tcPr>
          <w:p>
            <w:r>
              <w:t>Provider Url</w:t>
            </w:r>
          </w:p>
        </w:tc>
        <w:tc>
          <w:tcPr>
            <w:tcW w:type="dxa" w:w="4320"/>
          </w:tcPr>
          <w:p>
            <w:r/>
          </w:p>
        </w:tc>
      </w:tr>
      <w:tr>
        <w:tc>
          <w:tcPr>
            <w:tcW w:type="dxa" w:w="4320"/>
          </w:tcPr>
          <w:p>
            <w:r>
              <w:t>Enable T L S Session Reuse</w:t>
            </w:r>
          </w:p>
        </w:tc>
        <w:tc>
          <w:tcPr>
            <w:tcW w:type="dxa" w:w="4320"/>
          </w:tcPr>
          <w:p>
            <w:r>
              <w:t>true</w:t>
            </w:r>
          </w:p>
        </w:tc>
      </w:tr>
      <w:tr>
        <w:tc>
          <w:tcPr>
            <w:tcW w:type="dxa" w:w="4320"/>
          </w:tcPr>
          <w:p>
            <w:r>
              <w:t>Odatapagesize</w:t>
            </w:r>
          </w:p>
        </w:tc>
        <w:tc>
          <w:tcPr>
            <w:tcW w:type="dxa" w:w="4320"/>
          </w:tcPr>
          <w:p>
            <w:r/>
          </w:p>
        </w:tc>
      </w:tr>
      <w:tr>
        <w:tc>
          <w:tcPr>
            <w:tcW w:type="dxa" w:w="4320"/>
          </w:tcPr>
          <w:p>
            <w:r>
              <w:t>System</w:t>
            </w:r>
          </w:p>
        </w:tc>
        <w:tc>
          <w:tcPr>
            <w:tcW w:type="dxa" w:w="4320"/>
          </w:tcPr>
          <w:p>
            <w:r>
              <w:t>Receiver1</w:t>
            </w:r>
          </w:p>
        </w:tc>
      </w:tr>
      <w:tr>
        <w:tc>
          <w:tcPr>
            <w:tcW w:type="dxa" w:w="4320"/>
          </w:tcPr>
          <w:p>
            <w:r>
              <w:t>Authentication Method</w:t>
            </w:r>
          </w:p>
        </w:tc>
        <w:tc>
          <w:tcPr>
            <w:tcW w:type="dxa" w:w="4320"/>
          </w:tcPr>
          <w:p>
            <w:r>
              <w:t>Basic</w:t>
            </w:r>
          </w:p>
        </w:tc>
      </w:tr>
      <w:tr>
        <w:tc>
          <w:tcPr>
            <w:tcW w:type="dxa" w:w="4320"/>
          </w:tcPr>
          <w:p>
            <w:r>
              <w:t>Whitelist Response Headers</w:t>
            </w:r>
          </w:p>
        </w:tc>
        <w:tc>
          <w:tcPr>
            <w:tcW w:type="dxa" w:w="4320"/>
          </w:tcPr>
          <w:p>
            <w:r/>
          </w:p>
        </w:tc>
      </w:tr>
      <w:tr>
        <w:tc>
          <w:tcPr>
            <w:tcW w:type="dxa" w:w="4320"/>
          </w:tcPr>
          <w:p>
            <w:r>
              <w:t>Enable Batch Processing</w:t>
            </w:r>
          </w:p>
        </w:tc>
        <w:tc>
          <w:tcPr>
            <w:tcW w:type="dxa" w:w="4320"/>
          </w:tcPr>
          <w:p>
            <w:r>
              <w:t>1</w:t>
            </w:r>
          </w:p>
        </w:tc>
      </w:tr>
      <w:tr>
        <w:tc>
          <w:tcPr>
            <w:tcW w:type="dxa" w:w="4320"/>
          </w:tcPr>
          <w:p>
            <w:r>
              <w:t>Transport Protocol</w:t>
            </w:r>
          </w:p>
        </w:tc>
        <w:tc>
          <w:tcPr>
            <w:tcW w:type="dxa" w:w="4320"/>
          </w:tcPr>
          <w:p>
            <w:r>
              <w:t>HTTP</w:t>
            </w:r>
          </w:p>
        </w:tc>
      </w:tr>
      <w:tr>
        <w:tc>
          <w:tcPr>
            <w:tcW w:type="dxa" w:w="4320"/>
          </w:tcPr>
          <w:p>
            <w:r>
              <w:t>Character Encoding</w:t>
            </w:r>
          </w:p>
        </w:tc>
        <w:tc>
          <w:tcPr>
            <w:tcW w:type="dxa" w:w="4320"/>
          </w:tcPr>
          <w:p>
            <w:r>
              <w:t>none</w:t>
            </w:r>
          </w:p>
        </w:tc>
      </w:tr>
      <w:tr>
        <w:tc>
          <w:tcPr>
            <w:tcW w:type="dxa" w:w="4320"/>
          </w:tcPr>
          <w:p>
            <w:r>
              <w:t>Fields</w:t>
            </w:r>
          </w:p>
        </w:tc>
        <w:tc>
          <w:tcPr>
            <w:tcW w:type="dxa" w:w="4320"/>
          </w:tcPr>
          <w:p>
            <w:r>
              <w:t>SalesContract,SalesContractType,SalesOrganization,DistributionChannel,SalesContractValidityStartDate,SalesContractValidityEndDate,SalesContractValidityPerdUnit,CustomerPurchaseOrderType,OrganizationDivision,SoldToParty,CustomerPurchaseOrderDate,PurchaseOrderByCustomer,to_Item/SalesContractItem,to_Item/SalesContract,to_Item/Material,to_Item/RequestedQuantity</w:t>
            </w:r>
          </w:p>
        </w:tc>
      </w:tr>
      <w:tr>
        <w:tc>
          <w:tcPr>
            <w:tcW w:type="dxa" w:w="4320"/>
          </w:tcPr>
          <w:p>
            <w:r>
              <w:t>Cmd Variant Uri</w:t>
            </w:r>
          </w:p>
        </w:tc>
        <w:tc>
          <w:tcPr>
            <w:tcW w:type="dxa" w:w="4320"/>
          </w:tcPr>
          <w:p>
            <w:r>
              <w:t>ctype::AdapterVariant/cname::sap:HCIOData/tp::HTTP/mp::OData V2/direction::Receiver/version::1.25.0</w:t>
            </w:r>
          </w:p>
        </w:tc>
      </w:tr>
      <w:tr>
        <w:tc>
          <w:tcPr>
            <w:tcW w:type="dxa" w:w="4320"/>
          </w:tcPr>
          <w:p>
            <w:r>
              <w:t>Whitelist Request Headers</w:t>
            </w:r>
          </w:p>
        </w:tc>
        <w:tc>
          <w:tcPr>
            <w:tcW w:type="dxa" w:w="4320"/>
          </w:tcPr>
          <w:p>
            <w:r/>
          </w:p>
        </w:tc>
      </w:tr>
      <w:tr>
        <w:tc>
          <w:tcPr>
            <w:tcW w:type="dxa" w:w="4320"/>
          </w:tcPr>
          <w:p>
            <w:r>
              <w:t>Operation</w:t>
            </w:r>
          </w:p>
        </w:tc>
        <w:tc>
          <w:tcPr>
            <w:tcW w:type="dxa" w:w="4320"/>
          </w:tcPr>
          <w:p>
            <w:r>
              <w:t>Create(POST)</w:t>
            </w:r>
          </w:p>
        </w:tc>
      </w:tr>
      <w:tr>
        <w:tc>
          <w:tcPr>
            <w:tcW w:type="dxa" w:w="4320"/>
          </w:tcPr>
          <w:p>
            <w:r>
              <w:t>Message Protocol Version</w:t>
            </w:r>
          </w:p>
        </w:tc>
        <w:tc>
          <w:tcPr>
            <w:tcW w:type="dxa" w:w="4320"/>
          </w:tcPr>
          <w:p>
            <w:r>
              <w:t>1.25.0</w:t>
            </w:r>
          </w:p>
        </w:tc>
      </w:tr>
      <w:tr>
        <w:tc>
          <w:tcPr>
            <w:tcW w:type="dxa" w:w="4320"/>
          </w:tcPr>
          <w:p>
            <w:r>
              <w:t>Provider Relative Url</w:t>
            </w:r>
          </w:p>
        </w:tc>
        <w:tc>
          <w:tcPr>
            <w:tcW w:type="dxa" w:w="4320"/>
          </w:tcPr>
          <w:p>
            <w:r/>
          </w:p>
        </w:tc>
      </w:tr>
    </w:tbl>
    <w:p>
      <w:pPr>
        <w:pStyle w:val="Heading2"/>
      </w:pPr>
      <w:r>
        <w:t>5.5. Mappings</w:t>
      </w:r>
    </w:p>
    <w:p>
      <w:r>
        <w:rPr>
          <w:b w:val="0"/>
          <w:i w:val="0"/>
          <w:sz w:val="24"/>
        </w:rPr>
        <w:t>The Mappings section of the iFlow defines a single mapping activity with ID "1". This activity executes a message mapping named "Bulk2", which is referenced statically. The mapping file is located at `dir://mmap/src/main/resources/mapping/Bulk2.mmap` and its path is `src/main/resources/mapping/Bulk2` within the resource bundle.  The mapping type is "MessageMapping", and the mapping is executed using component version 1.3. No mapping source value or message mapping bundle ID is explicitly configured, suggesting a standard mapping execution using the named resource.</w:t>
        <w:br/>
      </w:r>
    </w:p>
    <w:p>
      <w:pPr>
        <w:pStyle w:val="Heading3"/>
      </w:pPr>
      <w:r>
        <w:t>Mapping Activity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mappingSourceValue</w:t>
            </w:r>
          </w:p>
        </w:tc>
        <w:tc>
          <w:tcPr>
            <w:tcW w:type="dxa" w:w="4320"/>
          </w:tcPr>
          <w:p>
            <w:r/>
          </w:p>
        </w:tc>
      </w:tr>
      <w:tr>
        <w:tc>
          <w:tcPr>
            <w:tcW w:type="dxa" w:w="4320"/>
          </w:tcPr>
          <w:p>
            <w:r>
              <w:t>mappingType</w:t>
            </w:r>
          </w:p>
        </w:tc>
        <w:tc>
          <w:tcPr>
            <w:tcW w:type="dxa" w:w="4320"/>
          </w:tcPr>
          <w:p>
            <w:r>
              <w:t>MessageMapping</w:t>
            </w:r>
          </w:p>
        </w:tc>
      </w:tr>
      <w:tr>
        <w:tc>
          <w:tcPr>
            <w:tcW w:type="dxa" w:w="4320"/>
          </w:tcPr>
          <w:p>
            <w:r>
              <w:t>mappingReference</w:t>
            </w:r>
          </w:p>
        </w:tc>
        <w:tc>
          <w:tcPr>
            <w:tcW w:type="dxa" w:w="4320"/>
          </w:tcPr>
          <w:p>
            <w:r>
              <w:t>static</w:t>
            </w:r>
          </w:p>
        </w:tc>
      </w:tr>
      <w:tr>
        <w:tc>
          <w:tcPr>
            <w:tcW w:type="dxa" w:w="4320"/>
          </w:tcPr>
          <w:p>
            <w:r>
              <w:t>mappingpath</w:t>
            </w:r>
          </w:p>
        </w:tc>
        <w:tc>
          <w:tcPr>
            <w:tcW w:type="dxa" w:w="4320"/>
          </w:tcPr>
          <w:p>
            <w:r>
              <w:t>src/main/resources/mapping/Bulk2</w:t>
            </w:r>
          </w:p>
        </w:tc>
      </w:tr>
      <w:tr>
        <w:tc>
          <w:tcPr>
            <w:tcW w:type="dxa" w:w="4320"/>
          </w:tcPr>
          <w:p>
            <w:r>
              <w:t>componentVersion</w:t>
            </w:r>
          </w:p>
        </w:tc>
        <w:tc>
          <w:tcPr>
            <w:tcW w:type="dxa" w:w="4320"/>
          </w:tcPr>
          <w:p>
            <w:r>
              <w:t>1.3</w:t>
            </w:r>
          </w:p>
        </w:tc>
      </w:tr>
      <w:tr>
        <w:tc>
          <w:tcPr>
            <w:tcW w:type="dxa" w:w="4320"/>
          </w:tcPr>
          <w:p>
            <w:r>
              <w:t>activityType</w:t>
            </w:r>
          </w:p>
        </w:tc>
        <w:tc>
          <w:tcPr>
            <w:tcW w:type="dxa" w:w="4320"/>
          </w:tcPr>
          <w:p>
            <w:r>
              <w:t>Mapping</w:t>
            </w:r>
          </w:p>
        </w:tc>
      </w:tr>
      <w:tr>
        <w:tc>
          <w:tcPr>
            <w:tcW w:type="dxa" w:w="4320"/>
          </w:tcPr>
          <w:p>
            <w:r>
              <w:t>cmdVariantUri</w:t>
            </w:r>
          </w:p>
        </w:tc>
        <w:tc>
          <w:tcPr>
            <w:tcW w:type="dxa" w:w="4320"/>
          </w:tcPr>
          <w:p>
            <w:r>
              <w:t>ctype::FlowstepVariant/cname::MessageMapping/version::1.3.1</w:t>
            </w:r>
          </w:p>
        </w:tc>
      </w:tr>
      <w:tr>
        <w:tc>
          <w:tcPr>
            <w:tcW w:type="dxa" w:w="4320"/>
          </w:tcPr>
          <w:p>
            <w:r>
              <w:t>messageMappingBundleId</w:t>
            </w:r>
          </w:p>
        </w:tc>
        <w:tc>
          <w:tcPr>
            <w:tcW w:type="dxa" w:w="4320"/>
          </w:tcPr>
          <w:p>
            <w:r/>
          </w:p>
        </w:tc>
      </w:tr>
    </w:tbl>
    <w:p>
      <w:pPr>
        <w:pStyle w:val="Heading2"/>
      </w:pPr>
      <w:r>
        <w:t>5.6. Security</w:t>
      </w:r>
    </w:p>
    <w:p>
      <w:r>
        <w:rPr>
          <w:b w:val="0"/>
          <w:i w:val="0"/>
          <w:sz w:val="24"/>
        </w:rPr>
        <w:t>The iFlow's collaboration defines overall security-related properties, including `httpSessionHandling` set to "None", `returnExceptionToSender` as "false", and `corsEnabled` as "false."  The iFlow includes a Sender endpoint (HTTPS, RoleBased Authentication), a Receiver endpoint (OData V2, Basic Authentication), and an integration process. The sender does not have basic authentication enabled.  The HTTPS sender adapter uses role-based authentication and only accepts ESBMessaging.send role. The OData receiver is configured with an address pointing to a Sales Contract service, using Basic Authentication and a SAP Cloud Connector proxy (proxyType = sapcc).</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Namespace Mapping</w:t>
            </w:r>
          </w:p>
        </w:tc>
        <w:tc>
          <w:tcPr>
            <w:tcW w:type="dxa" w:w="4320"/>
          </w:tcPr>
          <w:p>
            <w:r/>
          </w:p>
        </w:tc>
      </w:tr>
      <w:tr>
        <w:tc>
          <w:tcPr>
            <w:tcW w:type="dxa" w:w="4320"/>
          </w:tcPr>
          <w:p>
            <w:r>
              <w:t>Http Session Handling</w:t>
            </w:r>
          </w:p>
        </w:tc>
        <w:tc>
          <w:tcPr>
            <w:tcW w:type="dxa" w:w="4320"/>
          </w:tcPr>
          <w:p>
            <w:r>
              <w:t>None</w:t>
            </w:r>
          </w:p>
        </w:tc>
      </w:tr>
      <w:tr>
        <w:tc>
          <w:tcPr>
            <w:tcW w:type="dxa" w:w="4320"/>
          </w:tcPr>
          <w:p>
            <w:r>
              <w:t>Access Control Max Age</w:t>
            </w:r>
          </w:p>
        </w:tc>
        <w:tc>
          <w:tcPr>
            <w:tcW w:type="dxa" w:w="4320"/>
          </w:tcPr>
          <w:p>
            <w:r/>
          </w:p>
        </w:tc>
      </w:tr>
      <w:tr>
        <w:tc>
          <w:tcPr>
            <w:tcW w:type="dxa" w:w="4320"/>
          </w:tcPr>
          <w:p>
            <w:r>
              <w:t>Return Exception To Sender</w:t>
            </w:r>
          </w:p>
        </w:tc>
        <w:tc>
          <w:tcPr>
            <w:tcW w:type="dxa" w:w="4320"/>
          </w:tcPr>
          <w:p>
            <w:r>
              <w:t>false</w:t>
            </w:r>
          </w:p>
        </w:tc>
      </w:tr>
      <w:tr>
        <w:tc>
          <w:tcPr>
            <w:tcW w:type="dxa" w:w="4320"/>
          </w:tcPr>
          <w:p>
            <w:r>
              <w:t>Log</w:t>
            </w:r>
          </w:p>
        </w:tc>
        <w:tc>
          <w:tcPr>
            <w:tcW w:type="dxa" w:w="4320"/>
          </w:tcPr>
          <w:p>
            <w:r>
              <w:t>All events</w:t>
            </w:r>
          </w:p>
        </w:tc>
      </w:tr>
      <w:tr>
        <w:tc>
          <w:tcPr>
            <w:tcW w:type="dxa" w:w="4320"/>
          </w:tcPr>
          <w:p>
            <w:r>
              <w:t>Cors Enabled</w:t>
            </w:r>
          </w:p>
        </w:tc>
        <w:tc>
          <w:tcPr>
            <w:tcW w:type="dxa" w:w="4320"/>
          </w:tcPr>
          <w:p>
            <w:r>
              <w:t>false</w:t>
            </w:r>
          </w:p>
        </w:tc>
      </w:tr>
      <w:tr>
        <w:tc>
          <w:tcPr>
            <w:tcW w:type="dxa" w:w="4320"/>
          </w:tcPr>
          <w:p>
            <w:r>
              <w:t>Exposed Headers</w:t>
            </w:r>
          </w:p>
        </w:tc>
        <w:tc>
          <w:tcPr>
            <w:tcW w:type="dxa" w:w="4320"/>
          </w:tcPr>
          <w:p>
            <w:r/>
          </w:p>
        </w:tc>
      </w:tr>
      <w:tr>
        <w:tc>
          <w:tcPr>
            <w:tcW w:type="dxa" w:w="4320"/>
          </w:tcPr>
          <w:p>
            <w:r>
              <w:t>Component Version</w:t>
            </w:r>
          </w:p>
        </w:tc>
        <w:tc>
          <w:tcPr>
            <w:tcW w:type="dxa" w:w="4320"/>
          </w:tcPr>
          <w:p>
            <w:r>
              <w:t>1.2</w:t>
            </w:r>
          </w:p>
        </w:tc>
      </w:tr>
      <w:tr>
        <w:tc>
          <w:tcPr>
            <w:tcW w:type="dxa" w:w="4320"/>
          </w:tcPr>
          <w:p>
            <w:r>
              <w:t>Allowed Header List</w:t>
            </w:r>
          </w:p>
        </w:tc>
        <w:tc>
          <w:tcPr>
            <w:tcW w:type="dxa" w:w="4320"/>
          </w:tcPr>
          <w:p>
            <w:r/>
          </w:p>
        </w:tc>
      </w:tr>
      <w:tr>
        <w:tc>
          <w:tcPr>
            <w:tcW w:type="dxa" w:w="4320"/>
          </w:tcPr>
          <w:p>
            <w:r>
              <w:t>Server Trace</w:t>
            </w:r>
          </w:p>
        </w:tc>
        <w:tc>
          <w:tcPr>
            <w:tcW w:type="dxa" w:w="4320"/>
          </w:tcPr>
          <w:p>
            <w:r>
              <w:t>false</w:t>
            </w:r>
          </w:p>
        </w:tc>
      </w:tr>
      <w:tr>
        <w:tc>
          <w:tcPr>
            <w:tcW w:type="dxa" w:w="4320"/>
          </w:tcPr>
          <w:p>
            <w:r>
              <w:t>Allowed Origins</w:t>
            </w:r>
          </w:p>
        </w:tc>
        <w:tc>
          <w:tcPr>
            <w:tcW w:type="dxa" w:w="4320"/>
          </w:tcPr>
          <w:p>
            <w:r/>
          </w:p>
        </w:tc>
      </w:tr>
      <w:tr>
        <w:tc>
          <w:tcPr>
            <w:tcW w:type="dxa" w:w="4320"/>
          </w:tcPr>
          <w:p>
            <w:r>
              <w:t>Access Control Allow Credentials</w:t>
            </w:r>
          </w:p>
        </w:tc>
        <w:tc>
          <w:tcPr>
            <w:tcW w:type="dxa" w:w="4320"/>
          </w:tcPr>
          <w:p>
            <w:r>
              <w:t>false</w:t>
            </w:r>
          </w:p>
        </w:tc>
      </w:tr>
      <w:tr>
        <w:tc>
          <w:tcPr>
            <w:tcW w:type="dxa" w:w="4320"/>
          </w:tcPr>
          <w:p>
            <w:r>
              <w:t>Allowed Headers</w:t>
            </w:r>
          </w:p>
        </w:tc>
        <w:tc>
          <w:tcPr>
            <w:tcW w:type="dxa" w:w="4320"/>
          </w:tcPr>
          <w:p>
            <w:r/>
          </w:p>
        </w:tc>
      </w:tr>
      <w:tr>
        <w:tc>
          <w:tcPr>
            <w:tcW w:type="dxa" w:w="4320"/>
          </w:tcPr>
          <w:p>
            <w:r>
              <w:t>Allowed Methods</w:t>
            </w:r>
          </w:p>
        </w:tc>
        <w:tc>
          <w:tcPr>
            <w:tcW w:type="dxa" w:w="4320"/>
          </w:tcPr>
          <w:p>
            <w:r/>
          </w:p>
        </w:tc>
      </w:tr>
      <w:tr>
        <w:tc>
          <w:tcPr>
            <w:tcW w:type="dxa" w:w="4320"/>
          </w:tcPr>
          <w:p>
            <w:r>
              <w:t>Cmd Variant Uri</w:t>
            </w:r>
          </w:p>
        </w:tc>
        <w:tc>
          <w:tcPr>
            <w:tcW w:type="dxa" w:w="4320"/>
          </w:tcPr>
          <w:p>
            <w:r>
              <w:t>ctype::IFlowVariant/cname::IFlowConfiguration/version::1.2.4</w:t>
            </w:r>
          </w:p>
        </w:tc>
      </w:tr>
    </w:tbl>
    <w:p>
      <w:pPr>
        <w:pStyle w:val="Heading2"/>
      </w:pPr>
      <w:r>
        <w:t>5.7. Groovy Scripts</w:t>
      </w:r>
    </w:p>
    <w:p>
      <w:r>
        <w:rPr>
          <w:b w:val="0"/>
          <w:i w:val="0"/>
          <w:sz w:val="24"/>
        </w:rPr>
        <w:t>This SAP iFlow, `Post_Bulk_Order_SV`, processes bulk order data. It uses Content Modifier 2 (`CallActivity_75198`) to extract "Material_Number" from the XML payload using an XPath expression. Additionally, Content Modifier 3 (`CallActivity_341642`) extracts the `/A_SalesContractItemType/Material` value and stores it in the `Mat2` header. This `Mat2` header value is used in Content Modifier 2 within the wrapContent as a failure message. There are no other visible groovy scripts used in this iFlow based on provided XML data.</w:t>
        <w:br/>
      </w:r>
    </w:p>
    <w:p>
      <w:r>
        <w:rPr>
          <w:b w:val="0"/>
          <w:i w:val="0"/>
          <w:sz w:val="24"/>
        </w:rPr>
        <w:t>No Groovy scripts found in the specified folder.</w:t>
      </w:r>
    </w:p>
    <w:p>
      <w:pPr>
        <w:pStyle w:val="Heading2"/>
      </w:pPr>
      <w:r>
        <w:t>5.8. Error Handling &amp; Logging</w:t>
      </w:r>
    </w:p>
    <w:p>
      <w:r>
        <w:rPr>
          <w:b w:val="0"/>
          <w:i w:val="0"/>
          <w:sz w:val="24"/>
        </w:rPr>
        <w:t>The SAP iFlow described in the XML lacks explicit error handling mechanisms within the `&lt;Exceptions&gt;` block, suggesting a reliance on default platform behavior for exceptions. Without specified exception sub-processes or error handling steps, uncaught errors will likely terminate the iFlow execution. Logging configurations are not explicitly defined within this excerpt, implying default system logging levels are utilized, which may need to be configured in the iFlow's overall properties. This absence of explicit error handling and logging makes diagnosing and resolving issues in this iFlow more challenging. Further configuration outside the provided XML snippet would be needed to implement robust error management and logging practices.</w:t>
        <w:br/>
      </w:r>
    </w:p>
    <w:p>
      <w:r>
        <w:rPr>
          <w:b w:val="0"/>
          <w:i w:val="0"/>
          <w:sz w:val="24"/>
        </w:rPr>
        <w:t>No exception subprocesses found in the iFlow.</w:t>
      </w:r>
    </w:p>
    <w:p>
      <w:pPr>
        <w:pStyle w:val="Heading1"/>
      </w:pPr>
      <w:r>
        <w:t>6. Version and Metadata</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componentVersion</w:t>
            </w:r>
          </w:p>
        </w:tc>
        <w:tc>
          <w:tcPr>
            <w:tcW w:type="dxa" w:w="4320"/>
          </w:tcPr>
          <w:p>
            <w:r>
              <w:t>1.0</w:t>
            </w:r>
          </w:p>
        </w:tc>
      </w:tr>
      <w:tr>
        <w:tc>
          <w:tcPr>
            <w:tcW w:type="dxa" w:w="4320"/>
          </w:tcPr>
          <w:p>
            <w:r>
              <w:t>ComponentNS</w:t>
            </w:r>
          </w:p>
        </w:tc>
        <w:tc>
          <w:tcPr>
            <w:tcW w:type="dxa" w:w="4320"/>
          </w:tcPr>
          <w:p>
            <w:r>
              <w:t>sap</w:t>
            </w:r>
          </w:p>
        </w:tc>
      </w:tr>
      <w:tr>
        <w:tc>
          <w:tcPr>
            <w:tcW w:type="dxa" w:w="4320"/>
          </w:tcPr>
          <w:p>
            <w:r>
              <w:t>ComponentSWCVName</w:t>
            </w:r>
          </w:p>
        </w:tc>
        <w:tc>
          <w:tcPr>
            <w:tcW w:type="dxa" w:w="4320"/>
          </w:tcPr>
          <w:p>
            <w:r>
              <w:t>external</w:t>
            </w:r>
          </w:p>
        </w:tc>
      </w:tr>
      <w:tr>
        <w:tc>
          <w:tcPr>
            <w:tcW w:type="dxa" w:w="4320"/>
          </w:tcPr>
          <w:p>
            <w:r>
              <w:t>ComponentSWCVId</w:t>
            </w:r>
          </w:p>
        </w:tc>
        <w:tc>
          <w:tcPr>
            <w:tcW w:type="dxa" w:w="4320"/>
          </w:tcPr>
          <w:p>
            <w:r>
              <w:t>1.5.2</w:t>
            </w:r>
          </w:p>
        </w:tc>
      </w:tr>
    </w:tbl>
    <w:p>
      <w:r>
        <w:rPr>
          <w:b w:val="0"/>
          <w:i w:val="0"/>
          <w:sz w:val="24"/>
        </w:rPr>
        <w:t>This SAP iFlow component has a version of `1.0`. It's part of the `sap` namespace and is associated with the software component named `external`. The software component version ID is `1.5.2`. This iFlow likely relies on or interacts with the `external` software component version `1.5.2` to function. The overall component version is managed separately from the underlying software component's version.</w:t>
        <w:br/>
      </w:r>
    </w:p>
    <w:p>
      <w:pPr>
        <w:pStyle w:val="Heading1"/>
      </w:pPr>
      <w:r>
        <w:t>7. Appendix</w:t>
      </w:r>
    </w:p>
    <w:p>
      <w:r>
        <w:rPr>
          <w:b w:val="0"/>
          <w:i w:val="0"/>
          <w:sz w:val="24"/>
        </w:rPr>
        <w:t>This SAP iFlow processes data involving sales contracts. Key artifacts include: a message mapping "Bulk2" located at `dir://mmap/src/main/resources/mapping/Bulk2.mmap`, three Content Modifiers ("Content Modifier 1", "Content Modifier 2", "Content Modifier 3") manipulating message content and headers, a General Splitter splitting based on the XPath `/batchPartResponse/batchChangeSetResponse/batchChangeSetPartResponse`, a Request Reply step ("Request Reply 1") for external communication, a Write step ("Write 1") used to write persistent messages into the datastore and a Router to determine which path to take based on conditions. The iFlow starts with a message start event and ends with two message end events.</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mappingType</w:t>
            </w:r>
          </w:p>
        </w:tc>
        <w:tc>
          <w:tcPr>
            <w:tcW w:type="dxa" w:w="4320"/>
          </w:tcPr>
          <w:p>
            <w:r>
              <w:t>MessageMapping</w:t>
            </w:r>
          </w:p>
        </w:tc>
      </w:tr>
      <w:tr>
        <w:tc>
          <w:tcPr>
            <w:tcW w:type="dxa" w:w="4320"/>
          </w:tcPr>
          <w:p>
            <w:r>
              <w:t>mappingReference</w:t>
            </w:r>
          </w:p>
        </w:tc>
        <w:tc>
          <w:tcPr>
            <w:tcW w:type="dxa" w:w="4320"/>
          </w:tcPr>
          <w:p>
            <w:r>
              <w:t>static</w:t>
            </w:r>
          </w:p>
        </w:tc>
      </w:tr>
      <w:tr>
        <w:tc>
          <w:tcPr>
            <w:tcW w:type="dxa" w:w="4320"/>
          </w:tcPr>
          <w:p>
            <w:r>
              <w:t>mappingpath</w:t>
            </w:r>
          </w:p>
        </w:tc>
        <w:tc>
          <w:tcPr>
            <w:tcW w:type="dxa" w:w="4320"/>
          </w:tcPr>
          <w:p>
            <w:r>
              <w:t>src/main/resources/mapping/Bulk2</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Author: Generated by AI | Version: 1.0 | Date: 2025-11-07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 xml:space="preserve">Technical Specification: iFlow - Post_Bulk_Order_SV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