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BoxCar DES Project Terminology Glossary</w:t>
      </w:r>
    </w:p>
    <w:p>
      <w:pPr>
        <w:jc w:val="center"/>
      </w:pPr>
      <w:r>
        <w:rPr>
          <w:i/>
          <w:sz w:val="20"/>
        </w:rPr>
        <w:t>Fixed English terms for consistent translation and rewriting in the report</w:t>
      </w:r>
    </w:p>
    <w:p>
      <w:pPr>
        <w:pStyle w:val="Heading1"/>
      </w:pPr>
      <w:r>
        <w:t>1. Purpose</w:t>
      </w:r>
    </w:p>
    <w:p>
      <w:r>
        <w:t>This glossary fixes the core technical terms that should remain unchanged throughout the BoxCar simulation report, slides, and code comments. The goal is to keep terminology consistent across sections such as Problem Context &amp; KPIs and DES Model Development.</w:t>
      </w:r>
    </w:p>
    <w:p>
      <w:pPr>
        <w:pStyle w:val="Heading1"/>
      </w:pPr>
      <w:r>
        <w:t>2. Usage Rules</w:t>
      </w:r>
    </w:p>
    <w:p>
      <w:r>
        <w:t>Use the English term exactly as listed in the “Fixed English Term” column whenever the concept appears in the report.</w:t>
      </w:r>
    </w:p>
    <w:p>
      <w:r>
        <w:t>Chinese explanations may vary slightly for readability, but the fixed English term should not be replaced by a synonym unless there is a strong modelling reason.</w:t>
      </w:r>
    </w:p>
    <w:p>
      <w:r>
        <w:t>When a term first appears in the report, it is recommended to write the English term together with a short Chinese explanation if needed.</w:t>
      </w:r>
    </w:p>
    <w:p>
      <w:r>
        <w:t>Keep singular/plural and capitalization consistent. For example, use “state variables”, “future event list (FEL)”, and “key performance indicators (KPIs)” consistently.</w:t>
      </w:r>
    </w:p>
    <w:p>
      <w:pPr>
        <w:pStyle w:val="Heading1"/>
      </w:pPr>
      <w:r>
        <w:t>3. Fixed Terminology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tcPr>
          <w:p>
            <w:r>
              <w:rPr>
                <w:b/>
              </w:rPr>
              <w:t>Category / Concept</w:t>
            </w:r>
          </w:p>
        </w:tc>
        <w:tc>
          <w:tcPr>
            <w:tcW w:type="dxa" w:w="2304"/>
            <w:vAlign w:val="center"/>
          </w:tcPr>
          <w:p>
            <w:r>
              <w:rPr>
                <w:b/>
              </w:rPr>
              <w:t>Fixed English Term</w:t>
            </w:r>
          </w:p>
        </w:tc>
        <w:tc>
          <w:tcPr>
            <w:tcW w:type="dxa" w:w="2160"/>
            <w:vAlign w:val="center"/>
          </w:tcPr>
          <w:p>
            <w:r>
              <w:rPr>
                <w:b/>
              </w:rPr>
              <w:t>Recommended Chinese Rendering</w:t>
            </w:r>
          </w:p>
        </w:tc>
        <w:tc>
          <w:tcPr>
            <w:tcW w:type="dxa" w:w="4320"/>
            <w:vAlign w:val="center"/>
          </w:tcPr>
          <w:p>
            <w:r>
              <w:rPr>
                <w:b/>
              </w:rPr>
              <w:t>Usage Note</w:t>
            </w:r>
          </w:p>
        </w:tc>
      </w:tr>
      <w:tr>
        <w:tc>
          <w:tcPr>
            <w:tcW w:type="dxa" w:w="1728"/>
            <w:vAlign w:val="center"/>
          </w:tcPr>
          <w:p>
            <w:r>
              <w:t>DES</w:t>
            </w:r>
          </w:p>
        </w:tc>
        <w:tc>
          <w:tcPr>
            <w:tcW w:type="dxa" w:w="2304"/>
            <w:vAlign w:val="center"/>
          </w:tcPr>
          <w:p>
            <w:r>
              <w:t>Discrete-event simulation</w:t>
            </w:r>
          </w:p>
        </w:tc>
        <w:tc>
          <w:tcPr>
            <w:tcW w:type="dxa" w:w="2160"/>
            <w:vAlign w:val="center"/>
          </w:tcPr>
          <w:p>
            <w:r>
              <w:t>离散事件仿真</w:t>
            </w:r>
          </w:p>
        </w:tc>
        <w:tc>
          <w:tcPr>
            <w:tcW w:type="dxa" w:w="4320"/>
            <w:vAlign w:val="center"/>
          </w:tcPr>
          <w:p>
            <w:r>
              <w:t>Do not replace with “event-based simulation” unless quoting another source.</w:t>
            </w:r>
          </w:p>
        </w:tc>
      </w:tr>
      <w:tr>
        <w:tc>
          <w:tcPr>
            <w:tcW w:type="dxa" w:w="1728"/>
            <w:vAlign w:val="center"/>
          </w:tcPr>
          <w:p>
            <w:r>
              <w:t>DES model</w:t>
            </w:r>
          </w:p>
        </w:tc>
        <w:tc>
          <w:tcPr>
            <w:tcW w:type="dxa" w:w="2304"/>
            <w:vAlign w:val="center"/>
          </w:tcPr>
          <w:p>
            <w:r>
              <w:t>DES model</w:t>
            </w:r>
          </w:p>
        </w:tc>
        <w:tc>
          <w:tcPr>
            <w:tcW w:type="dxa" w:w="2160"/>
            <w:vAlign w:val="center"/>
          </w:tcPr>
          <w:p>
            <w:r>
              <w:t>离散事件仿真模型</w:t>
            </w:r>
          </w:p>
        </w:tc>
        <w:tc>
          <w:tcPr>
            <w:tcW w:type="dxa" w:w="4320"/>
            <w:vAlign w:val="center"/>
          </w:tcPr>
          <w:p>
            <w:r>
              <w:t>Preferred project term for the simulation model itself.</w:t>
            </w:r>
          </w:p>
        </w:tc>
      </w:tr>
      <w:tr>
        <w:tc>
          <w:tcPr>
            <w:tcW w:type="dxa" w:w="1728"/>
            <w:vAlign w:val="center"/>
          </w:tcPr>
          <w:p>
            <w:r>
              <w:t>System state</w:t>
            </w:r>
          </w:p>
        </w:tc>
        <w:tc>
          <w:tcPr>
            <w:tcW w:type="dxa" w:w="2304"/>
            <w:vAlign w:val="center"/>
          </w:tcPr>
          <w:p>
            <w:r>
              <w:t>system state</w:t>
            </w:r>
          </w:p>
        </w:tc>
        <w:tc>
          <w:tcPr>
            <w:tcW w:type="dxa" w:w="2160"/>
            <w:vAlign w:val="center"/>
          </w:tcPr>
          <w:p>
            <w:r>
              <w:t>系统状态</w:t>
            </w:r>
          </w:p>
        </w:tc>
        <w:tc>
          <w:tcPr>
            <w:tcW w:type="dxa" w:w="4320"/>
            <w:vAlign w:val="center"/>
          </w:tcPr>
          <w:p>
            <w:r>
              <w:t>The information needed to continue the simulation at the current time.</w:t>
            </w:r>
          </w:p>
        </w:tc>
      </w:tr>
      <w:tr>
        <w:tc>
          <w:tcPr>
            <w:tcW w:type="dxa" w:w="1728"/>
            <w:vAlign w:val="center"/>
          </w:tcPr>
          <w:p>
            <w:r>
              <w:t>State variable</w:t>
            </w:r>
          </w:p>
        </w:tc>
        <w:tc>
          <w:tcPr>
            <w:tcW w:type="dxa" w:w="2304"/>
            <w:vAlign w:val="center"/>
          </w:tcPr>
          <w:p>
            <w:r>
              <w:t>state variable</w:t>
            </w:r>
          </w:p>
        </w:tc>
        <w:tc>
          <w:tcPr>
            <w:tcW w:type="dxa" w:w="2160"/>
            <w:vAlign w:val="center"/>
          </w:tcPr>
          <w:p>
            <w:r>
              <w:t>状态变量</w:t>
            </w:r>
          </w:p>
        </w:tc>
        <w:tc>
          <w:tcPr>
            <w:tcW w:type="dxa" w:w="4320"/>
            <w:vAlign w:val="center"/>
          </w:tcPr>
          <w:p>
            <w:r>
              <w:t>A variable/component used to represent the system state.</w:t>
            </w:r>
          </w:p>
        </w:tc>
      </w:tr>
      <w:tr>
        <w:tc>
          <w:tcPr>
            <w:tcW w:type="dxa" w:w="1728"/>
            <w:vAlign w:val="center"/>
          </w:tcPr>
          <w:p>
            <w:r>
              <w:t>Event</w:t>
            </w:r>
          </w:p>
        </w:tc>
        <w:tc>
          <w:tcPr>
            <w:tcW w:type="dxa" w:w="2304"/>
            <w:vAlign w:val="center"/>
          </w:tcPr>
          <w:p>
            <w:r>
              <w:t>event</w:t>
            </w:r>
          </w:p>
        </w:tc>
        <w:tc>
          <w:tcPr>
            <w:tcW w:type="dxa" w:w="2160"/>
            <w:vAlign w:val="center"/>
          </w:tcPr>
          <w:p>
            <w:r>
              <w:t>事件</w:t>
            </w:r>
          </w:p>
        </w:tc>
        <w:tc>
          <w:tcPr>
            <w:tcW w:type="dxa" w:w="4320"/>
            <w:vAlign w:val="center"/>
          </w:tcPr>
          <w:p>
            <w:r>
              <w:t>A time point at which the system state changes.</w:t>
            </w:r>
          </w:p>
        </w:tc>
      </w:tr>
      <w:tr>
        <w:tc>
          <w:tcPr>
            <w:tcW w:type="dxa" w:w="1728"/>
            <w:vAlign w:val="center"/>
          </w:tcPr>
          <w:p>
            <w:r>
              <w:t>State-changing event</w:t>
            </w:r>
          </w:p>
        </w:tc>
        <w:tc>
          <w:tcPr>
            <w:tcW w:type="dxa" w:w="2304"/>
            <w:vAlign w:val="center"/>
          </w:tcPr>
          <w:p>
            <w:r>
              <w:t>state-changing event</w:t>
            </w:r>
          </w:p>
        </w:tc>
        <w:tc>
          <w:tcPr>
            <w:tcW w:type="dxa" w:w="2160"/>
            <w:vAlign w:val="center"/>
          </w:tcPr>
          <w:p>
            <w:r>
              <w:t>改变状态的事件</w:t>
            </w:r>
          </w:p>
        </w:tc>
        <w:tc>
          <w:tcPr>
            <w:tcW w:type="dxa" w:w="4320"/>
            <w:vAlign w:val="center"/>
          </w:tcPr>
          <w:p>
            <w:r>
              <w:t>Useful in DES Model Development when classifying event types.</w:t>
            </w:r>
          </w:p>
        </w:tc>
      </w:tr>
      <w:tr>
        <w:tc>
          <w:tcPr>
            <w:tcW w:type="dxa" w:w="1728"/>
            <w:vAlign w:val="center"/>
          </w:tcPr>
          <w:p>
            <w:r>
              <w:t>Simulation clock</w:t>
            </w:r>
          </w:p>
        </w:tc>
        <w:tc>
          <w:tcPr>
            <w:tcW w:type="dxa" w:w="2304"/>
            <w:vAlign w:val="center"/>
          </w:tcPr>
          <w:p>
            <w:r>
              <w:t>simulation clock</w:t>
            </w:r>
          </w:p>
        </w:tc>
        <w:tc>
          <w:tcPr>
            <w:tcW w:type="dxa" w:w="2160"/>
            <w:vAlign w:val="center"/>
          </w:tcPr>
          <w:p>
            <w:r>
              <w:t>仿真时钟</w:t>
            </w:r>
          </w:p>
        </w:tc>
        <w:tc>
          <w:tcPr>
            <w:tcW w:type="dxa" w:w="4320"/>
            <w:vAlign w:val="center"/>
          </w:tcPr>
          <w:p>
            <w:r>
              <w:t>Usually denoted by t or TNOW.</w:t>
            </w:r>
          </w:p>
        </w:tc>
      </w:tr>
      <w:tr>
        <w:tc>
          <w:tcPr>
            <w:tcW w:type="dxa" w:w="1728"/>
            <w:vAlign w:val="center"/>
          </w:tcPr>
          <w:p>
            <w:r>
              <w:t>Future event list</w:t>
            </w:r>
          </w:p>
        </w:tc>
        <w:tc>
          <w:tcPr>
            <w:tcW w:type="dxa" w:w="2304"/>
            <w:vAlign w:val="center"/>
          </w:tcPr>
          <w:p>
            <w:r>
              <w:t>future event list (FEL)</w:t>
            </w:r>
          </w:p>
        </w:tc>
        <w:tc>
          <w:tcPr>
            <w:tcW w:type="dxa" w:w="2160"/>
            <w:vAlign w:val="center"/>
          </w:tcPr>
          <w:p>
            <w:r>
              <w:t>未来事件表</w:t>
            </w:r>
          </w:p>
        </w:tc>
        <w:tc>
          <w:tcPr>
            <w:tcW w:type="dxa" w:w="4320"/>
            <w:vAlign w:val="center"/>
          </w:tcPr>
          <w:p>
            <w:r>
              <w:t>Prefer FEL over “event calendar” in technical writing, but event calendar can be used when matching course wording.</w:t>
            </w:r>
          </w:p>
        </w:tc>
      </w:tr>
      <w:tr>
        <w:tc>
          <w:tcPr>
            <w:tcW w:type="dxa" w:w="1728"/>
            <w:vAlign w:val="center"/>
          </w:tcPr>
          <w:p>
            <w:r>
              <w:t>Event calendar</w:t>
            </w:r>
          </w:p>
        </w:tc>
        <w:tc>
          <w:tcPr>
            <w:tcW w:type="dxa" w:w="2304"/>
            <w:vAlign w:val="center"/>
          </w:tcPr>
          <w:p>
            <w:r>
              <w:t>event calendar</w:t>
            </w:r>
          </w:p>
        </w:tc>
        <w:tc>
          <w:tcPr>
            <w:tcW w:type="dxa" w:w="2160"/>
            <w:vAlign w:val="center"/>
          </w:tcPr>
          <w:p>
            <w:r>
              <w:t>事件日历/事件表</w:t>
            </w:r>
          </w:p>
        </w:tc>
        <w:tc>
          <w:tcPr>
            <w:tcW w:type="dxa" w:w="4320"/>
            <w:vAlign w:val="center"/>
          </w:tcPr>
          <w:p>
            <w:r>
              <w:t>Keep this term when referring directly to course examples or tables named “Event Calendar”.</w:t>
            </w:r>
          </w:p>
        </w:tc>
      </w:tr>
      <w:tr>
        <w:tc>
          <w:tcPr>
            <w:tcW w:type="dxa" w:w="1728"/>
            <w:vAlign w:val="center"/>
          </w:tcPr>
          <w:p>
            <w:r>
              <w:t>Event scheduling</w:t>
            </w:r>
          </w:p>
        </w:tc>
        <w:tc>
          <w:tcPr>
            <w:tcW w:type="dxa" w:w="2304"/>
            <w:vAlign w:val="center"/>
          </w:tcPr>
          <w:p>
            <w:r>
              <w:t>event scheduling</w:t>
            </w:r>
          </w:p>
        </w:tc>
        <w:tc>
          <w:tcPr>
            <w:tcW w:type="dxa" w:w="2160"/>
            <w:vAlign w:val="center"/>
          </w:tcPr>
          <w:p>
            <w:r>
              <w:t>事件调度</w:t>
            </w:r>
          </w:p>
        </w:tc>
        <w:tc>
          <w:tcPr>
            <w:tcW w:type="dxa" w:w="4320"/>
            <w:vAlign w:val="center"/>
          </w:tcPr>
          <w:p>
            <w:r>
              <w:t>Used when explaining how future events are inserted/updated in the FEL.</w:t>
            </w:r>
          </w:p>
        </w:tc>
      </w:tr>
      <w:tr>
        <w:tc>
          <w:tcPr>
            <w:tcW w:type="dxa" w:w="1728"/>
            <w:vAlign w:val="center"/>
          </w:tcPr>
          <w:p>
            <w:r>
              <w:t>Event routine</w:t>
            </w:r>
          </w:p>
        </w:tc>
        <w:tc>
          <w:tcPr>
            <w:tcW w:type="dxa" w:w="2304"/>
            <w:vAlign w:val="center"/>
          </w:tcPr>
          <w:p>
            <w:r>
              <w:t>event routine</w:t>
            </w:r>
          </w:p>
        </w:tc>
        <w:tc>
          <w:tcPr>
            <w:tcW w:type="dxa" w:w="2160"/>
            <w:vAlign w:val="center"/>
          </w:tcPr>
          <w:p>
            <w:r>
              <w:t>事件处理逻辑</w:t>
            </w:r>
          </w:p>
        </w:tc>
        <w:tc>
          <w:tcPr>
            <w:tcW w:type="dxa" w:w="4320"/>
            <w:vAlign w:val="center"/>
          </w:tcPr>
          <w:p>
            <w:r>
              <w:t>The logic executed when a specific event occurs.</w:t>
            </w:r>
          </w:p>
        </w:tc>
      </w:tr>
      <w:tr>
        <w:tc>
          <w:tcPr>
            <w:tcW w:type="dxa" w:w="1728"/>
            <w:vAlign w:val="center"/>
          </w:tcPr>
          <w:p>
            <w:r>
              <w:t>Initialization</w:t>
            </w:r>
          </w:p>
        </w:tc>
        <w:tc>
          <w:tcPr>
            <w:tcW w:type="dxa" w:w="2304"/>
            <w:vAlign w:val="center"/>
          </w:tcPr>
          <w:p>
            <w:r>
              <w:t>initialization</w:t>
            </w:r>
          </w:p>
        </w:tc>
        <w:tc>
          <w:tcPr>
            <w:tcW w:type="dxa" w:w="2160"/>
            <w:vAlign w:val="center"/>
          </w:tcPr>
          <w:p>
            <w:r>
              <w:t>初始化</w:t>
            </w:r>
          </w:p>
        </w:tc>
        <w:tc>
          <w:tcPr>
            <w:tcW w:type="dxa" w:w="4320"/>
            <w:vAlign w:val="center"/>
          </w:tcPr>
          <w:p>
            <w:r>
              <w:t>Initial setup before the first event is processed.</w:t>
            </w:r>
          </w:p>
        </w:tc>
      </w:tr>
      <w:tr>
        <w:tc>
          <w:tcPr>
            <w:tcW w:type="dxa" w:w="1728"/>
            <w:vAlign w:val="center"/>
          </w:tcPr>
          <w:p>
            <w:r>
              <w:t>Termination event</w:t>
            </w:r>
          </w:p>
        </w:tc>
        <w:tc>
          <w:tcPr>
            <w:tcW w:type="dxa" w:w="2304"/>
            <w:vAlign w:val="center"/>
          </w:tcPr>
          <w:p>
            <w:r>
              <w:t>termination event</w:t>
            </w:r>
          </w:p>
        </w:tc>
        <w:tc>
          <w:tcPr>
            <w:tcW w:type="dxa" w:w="2160"/>
            <w:vAlign w:val="center"/>
          </w:tcPr>
          <w:p>
            <w:r>
              <w:t>终止事件</w:t>
            </w:r>
          </w:p>
        </w:tc>
        <w:tc>
          <w:tcPr>
            <w:tcW w:type="dxa" w:w="4320"/>
            <w:vAlign w:val="center"/>
          </w:tcPr>
          <w:p>
            <w:r>
              <w:t>The event that ends a simulation run.</w:t>
            </w:r>
          </w:p>
        </w:tc>
      </w:tr>
      <w:tr>
        <w:tc>
          <w:tcPr>
            <w:tcW w:type="dxa" w:w="1728"/>
            <w:vAlign w:val="center"/>
          </w:tcPr>
          <w:p>
            <w:r>
              <w:t>Replication</w:t>
            </w:r>
          </w:p>
        </w:tc>
        <w:tc>
          <w:tcPr>
            <w:tcW w:type="dxa" w:w="2304"/>
            <w:vAlign w:val="center"/>
          </w:tcPr>
          <w:p>
            <w:r>
              <w:t>replication</w:t>
            </w:r>
          </w:p>
        </w:tc>
        <w:tc>
          <w:tcPr>
            <w:tcW w:type="dxa" w:w="2160"/>
            <w:vAlign w:val="center"/>
          </w:tcPr>
          <w:p>
            <w:r>
              <w:t>一次独立仿真重复</w:t>
            </w:r>
          </w:p>
        </w:tc>
        <w:tc>
          <w:tcPr>
            <w:tcW w:type="dxa" w:w="4320"/>
            <w:vAlign w:val="center"/>
          </w:tcPr>
          <w:p>
            <w:r>
              <w:t>One independent run of the simulation under the same settings.</w:t>
            </w:r>
          </w:p>
        </w:tc>
      </w:tr>
      <w:tr>
        <w:tc>
          <w:tcPr>
            <w:tcW w:type="dxa" w:w="1728"/>
            <w:vAlign w:val="center"/>
          </w:tcPr>
          <w:p>
            <w:r>
              <w:t>Input model</w:t>
            </w:r>
          </w:p>
        </w:tc>
        <w:tc>
          <w:tcPr>
            <w:tcW w:type="dxa" w:w="2304"/>
            <w:vAlign w:val="center"/>
          </w:tcPr>
          <w:p>
            <w:r>
              <w:t>input model</w:t>
            </w:r>
          </w:p>
        </w:tc>
        <w:tc>
          <w:tcPr>
            <w:tcW w:type="dxa" w:w="2160"/>
            <w:vAlign w:val="center"/>
          </w:tcPr>
          <w:p>
            <w:r>
              <w:t>输入模型</w:t>
            </w:r>
          </w:p>
        </w:tc>
        <w:tc>
          <w:tcPr>
            <w:tcW w:type="dxa" w:w="4320"/>
            <w:vAlign w:val="center"/>
          </w:tcPr>
          <w:p>
            <w:r>
              <w:t>Probability models for arrivals, trip times, patience, etc.</w:t>
            </w:r>
          </w:p>
        </w:tc>
      </w:tr>
      <w:tr>
        <w:tc>
          <w:tcPr>
            <w:tcW w:type="dxa" w:w="1728"/>
            <w:vAlign w:val="center"/>
          </w:tcPr>
          <w:p>
            <w:r>
              <w:t>Arrival process</w:t>
            </w:r>
          </w:p>
        </w:tc>
        <w:tc>
          <w:tcPr>
            <w:tcW w:type="dxa" w:w="2304"/>
            <w:vAlign w:val="center"/>
          </w:tcPr>
          <w:p>
            <w:r>
              <w:t>arrival process</w:t>
            </w:r>
          </w:p>
        </w:tc>
        <w:tc>
          <w:tcPr>
            <w:tcW w:type="dxa" w:w="2160"/>
            <w:vAlign w:val="center"/>
          </w:tcPr>
          <w:p>
            <w:r>
              <w:t>到达过程</w:t>
            </w:r>
          </w:p>
        </w:tc>
        <w:tc>
          <w:tcPr>
            <w:tcW w:type="dxa" w:w="4320"/>
            <w:vAlign w:val="center"/>
          </w:tcPr>
          <w:p>
            <w:r>
              <w:t>For rider arrivals and driver online arrivals.</w:t>
            </w:r>
          </w:p>
        </w:tc>
      </w:tr>
      <w:tr>
        <w:tc>
          <w:tcPr>
            <w:tcW w:type="dxa" w:w="1728"/>
            <w:vAlign w:val="center"/>
          </w:tcPr>
          <w:p>
            <w:r>
              <w:t>Inter-arrival time</w:t>
            </w:r>
          </w:p>
        </w:tc>
        <w:tc>
          <w:tcPr>
            <w:tcW w:type="dxa" w:w="2304"/>
            <w:vAlign w:val="center"/>
          </w:tcPr>
          <w:p>
            <w:r>
              <w:t>inter-arrival time</w:t>
            </w:r>
          </w:p>
        </w:tc>
        <w:tc>
          <w:tcPr>
            <w:tcW w:type="dxa" w:w="2160"/>
            <w:vAlign w:val="center"/>
          </w:tcPr>
          <w:p>
            <w:r>
              <w:t>到达间隔时间</w:t>
            </w:r>
          </w:p>
        </w:tc>
        <w:tc>
          <w:tcPr>
            <w:tcW w:type="dxa" w:w="4320"/>
            <w:vAlign w:val="center"/>
          </w:tcPr>
          <w:p>
            <w:r>
              <w:t>Keep hyphenation consistent.</w:t>
            </w:r>
          </w:p>
        </w:tc>
      </w:tr>
      <w:tr>
        <w:tc>
          <w:tcPr>
            <w:tcW w:type="dxa" w:w="1728"/>
            <w:vAlign w:val="center"/>
          </w:tcPr>
          <w:p>
            <w:r>
              <w:t>Service process</w:t>
            </w:r>
          </w:p>
        </w:tc>
        <w:tc>
          <w:tcPr>
            <w:tcW w:type="dxa" w:w="2304"/>
            <w:vAlign w:val="center"/>
          </w:tcPr>
          <w:p>
            <w:r>
              <w:t>service process</w:t>
            </w:r>
          </w:p>
        </w:tc>
        <w:tc>
          <w:tcPr>
            <w:tcW w:type="dxa" w:w="2160"/>
            <w:vAlign w:val="center"/>
          </w:tcPr>
          <w:p>
            <w:r>
              <w:t>服务过程</w:t>
            </w:r>
          </w:p>
        </w:tc>
        <w:tc>
          <w:tcPr>
            <w:tcW w:type="dxa" w:w="4320"/>
            <w:vAlign w:val="center"/>
          </w:tcPr>
          <w:p>
            <w:r>
              <w:t>In this project, includes pickup and drop-off travel.</w:t>
            </w:r>
          </w:p>
        </w:tc>
      </w:tr>
      <w:tr>
        <w:tc>
          <w:tcPr>
            <w:tcW w:type="dxa" w:w="1728"/>
            <w:vAlign w:val="center"/>
          </w:tcPr>
          <w:p>
            <w:r>
              <w:t>Matching rule</w:t>
            </w:r>
          </w:p>
        </w:tc>
        <w:tc>
          <w:tcPr>
            <w:tcW w:type="dxa" w:w="2304"/>
            <w:vAlign w:val="center"/>
          </w:tcPr>
          <w:p>
            <w:r>
              <w:t>matching rule</w:t>
            </w:r>
          </w:p>
        </w:tc>
        <w:tc>
          <w:tcPr>
            <w:tcW w:type="dxa" w:w="2160"/>
            <w:vAlign w:val="center"/>
          </w:tcPr>
          <w:p>
            <w:r>
              <w:t>匹配规则</w:t>
            </w:r>
          </w:p>
        </w:tc>
        <w:tc>
          <w:tcPr>
            <w:tcW w:type="dxa" w:w="4320"/>
            <w:vAlign w:val="center"/>
          </w:tcPr>
          <w:p>
            <w:r>
              <w:t>For example, closest-idle-driver matching.</w:t>
            </w:r>
          </w:p>
        </w:tc>
      </w:tr>
      <w:tr>
        <w:tc>
          <w:tcPr>
            <w:tcW w:type="dxa" w:w="1728"/>
            <w:vAlign w:val="center"/>
          </w:tcPr>
          <w:p>
            <w:r>
              <w:t>Dispatch logic</w:t>
            </w:r>
          </w:p>
        </w:tc>
        <w:tc>
          <w:tcPr>
            <w:tcW w:type="dxa" w:w="2304"/>
            <w:vAlign w:val="center"/>
          </w:tcPr>
          <w:p>
            <w:r>
              <w:t>dispatch logic</w:t>
            </w:r>
          </w:p>
        </w:tc>
        <w:tc>
          <w:tcPr>
            <w:tcW w:type="dxa" w:w="2160"/>
            <w:vAlign w:val="center"/>
          </w:tcPr>
          <w:p>
            <w:r>
              <w:t>派单逻辑</w:t>
            </w:r>
          </w:p>
        </w:tc>
        <w:tc>
          <w:tcPr>
            <w:tcW w:type="dxa" w:w="4320"/>
            <w:vAlign w:val="center"/>
          </w:tcPr>
          <w:p>
            <w:r>
              <w:t>Operational logic used to assign drivers to riders.</w:t>
            </w:r>
          </w:p>
        </w:tc>
      </w:tr>
      <w:tr>
        <w:tc>
          <w:tcPr>
            <w:tcW w:type="dxa" w:w="1728"/>
            <w:vAlign w:val="center"/>
          </w:tcPr>
          <w:p>
            <w:r>
              <w:t>Idle driver</w:t>
            </w:r>
          </w:p>
        </w:tc>
        <w:tc>
          <w:tcPr>
            <w:tcW w:type="dxa" w:w="2304"/>
            <w:vAlign w:val="center"/>
          </w:tcPr>
          <w:p>
            <w:r>
              <w:t>idle driver</w:t>
            </w:r>
          </w:p>
        </w:tc>
        <w:tc>
          <w:tcPr>
            <w:tcW w:type="dxa" w:w="2160"/>
            <w:vAlign w:val="center"/>
          </w:tcPr>
          <w:p>
            <w:r>
              <w:t>空闲司机</w:t>
            </w:r>
          </w:p>
        </w:tc>
        <w:tc>
          <w:tcPr>
            <w:tcW w:type="dxa" w:w="4320"/>
            <w:vAlign w:val="center"/>
          </w:tcPr>
          <w:p>
            <w:r>
              <w:t>Available and not currently serving a rider.</w:t>
            </w:r>
          </w:p>
        </w:tc>
      </w:tr>
      <w:tr>
        <w:tc>
          <w:tcPr>
            <w:tcW w:type="dxa" w:w="1728"/>
            <w:vAlign w:val="center"/>
          </w:tcPr>
          <w:p>
            <w:r>
              <w:t>Busy driver</w:t>
            </w:r>
          </w:p>
        </w:tc>
        <w:tc>
          <w:tcPr>
            <w:tcW w:type="dxa" w:w="2304"/>
            <w:vAlign w:val="center"/>
          </w:tcPr>
          <w:p>
            <w:r>
              <w:t>busy driver</w:t>
            </w:r>
          </w:p>
        </w:tc>
        <w:tc>
          <w:tcPr>
            <w:tcW w:type="dxa" w:w="2160"/>
            <w:vAlign w:val="center"/>
          </w:tcPr>
          <w:p>
            <w:r>
              <w:t>忙碌司机</w:t>
            </w:r>
          </w:p>
        </w:tc>
        <w:tc>
          <w:tcPr>
            <w:tcW w:type="dxa" w:w="4320"/>
            <w:vAlign w:val="center"/>
          </w:tcPr>
          <w:p>
            <w:r>
              <w:t>Currently traveling to pick up or drop off a rider.</w:t>
            </w:r>
          </w:p>
        </w:tc>
      </w:tr>
      <w:tr>
        <w:tc>
          <w:tcPr>
            <w:tcW w:type="dxa" w:w="1728"/>
            <w:vAlign w:val="center"/>
          </w:tcPr>
          <w:p>
            <w:r>
              <w:t>Waiting rider</w:t>
            </w:r>
          </w:p>
        </w:tc>
        <w:tc>
          <w:tcPr>
            <w:tcW w:type="dxa" w:w="2304"/>
            <w:vAlign w:val="center"/>
          </w:tcPr>
          <w:p>
            <w:r>
              <w:t>waiting rider</w:t>
            </w:r>
          </w:p>
        </w:tc>
        <w:tc>
          <w:tcPr>
            <w:tcW w:type="dxa" w:w="2160"/>
            <w:vAlign w:val="center"/>
          </w:tcPr>
          <w:p>
            <w:r>
              <w:t>等待中的乘客</w:t>
            </w:r>
          </w:p>
        </w:tc>
        <w:tc>
          <w:tcPr>
            <w:tcW w:type="dxa" w:w="4320"/>
            <w:vAlign w:val="center"/>
          </w:tcPr>
          <w:p>
            <w:r>
              <w:t>A rider who has arrived but not yet been matched.</w:t>
            </w:r>
          </w:p>
        </w:tc>
      </w:tr>
      <w:tr>
        <w:tc>
          <w:tcPr>
            <w:tcW w:type="dxa" w:w="1728"/>
            <w:vAlign w:val="center"/>
          </w:tcPr>
          <w:p>
            <w:r>
              <w:t>Rider abandonment</w:t>
            </w:r>
          </w:p>
        </w:tc>
        <w:tc>
          <w:tcPr>
            <w:tcW w:type="dxa" w:w="2304"/>
            <w:vAlign w:val="center"/>
          </w:tcPr>
          <w:p>
            <w:r>
              <w:t>rider abandonment</w:t>
            </w:r>
          </w:p>
        </w:tc>
        <w:tc>
          <w:tcPr>
            <w:tcW w:type="dxa" w:w="2160"/>
            <w:vAlign w:val="center"/>
          </w:tcPr>
          <w:p>
            <w:r>
              <w:t>乘客放弃/取消</w:t>
            </w:r>
          </w:p>
        </w:tc>
        <w:tc>
          <w:tcPr>
            <w:tcW w:type="dxa" w:w="4320"/>
            <w:vAlign w:val="center"/>
          </w:tcPr>
          <w:p>
            <w:r>
              <w:t>Use for cancellations caused by limited patience.</w:t>
            </w:r>
          </w:p>
        </w:tc>
      </w:tr>
      <w:tr>
        <w:tc>
          <w:tcPr>
            <w:tcW w:type="dxa" w:w="1728"/>
            <w:vAlign w:val="center"/>
          </w:tcPr>
          <w:p>
            <w:r>
              <w:t>Patience time</w:t>
            </w:r>
          </w:p>
        </w:tc>
        <w:tc>
          <w:tcPr>
            <w:tcW w:type="dxa" w:w="2304"/>
            <w:vAlign w:val="center"/>
          </w:tcPr>
          <w:p>
            <w:r>
              <w:t>patience time</w:t>
            </w:r>
          </w:p>
        </w:tc>
        <w:tc>
          <w:tcPr>
            <w:tcW w:type="dxa" w:w="2160"/>
            <w:vAlign w:val="center"/>
          </w:tcPr>
          <w:p>
            <w:r>
              <w:t>耐心时间</w:t>
            </w:r>
          </w:p>
        </w:tc>
        <w:tc>
          <w:tcPr>
            <w:tcW w:type="dxa" w:w="4320"/>
            <w:vAlign w:val="center"/>
          </w:tcPr>
          <w:p>
            <w:r>
              <w:t>The maximum waiting time before abandonment.</w:t>
            </w:r>
          </w:p>
        </w:tc>
      </w:tr>
      <w:tr>
        <w:tc>
          <w:tcPr>
            <w:tcW w:type="dxa" w:w="1728"/>
            <w:vAlign w:val="center"/>
          </w:tcPr>
          <w:p>
            <w:r>
              <w:t>Pickup time</w:t>
            </w:r>
          </w:p>
        </w:tc>
        <w:tc>
          <w:tcPr>
            <w:tcW w:type="dxa" w:w="2304"/>
            <w:vAlign w:val="center"/>
          </w:tcPr>
          <w:p>
            <w:r>
              <w:t>pickup time</w:t>
            </w:r>
          </w:p>
        </w:tc>
        <w:tc>
          <w:tcPr>
            <w:tcW w:type="dxa" w:w="2160"/>
            <w:vAlign w:val="center"/>
          </w:tcPr>
          <w:p>
            <w:r>
              <w:t>接驾时间</w:t>
            </w:r>
          </w:p>
        </w:tc>
        <w:tc>
          <w:tcPr>
            <w:tcW w:type="dxa" w:w="4320"/>
            <w:vAlign w:val="center"/>
          </w:tcPr>
          <w:p>
            <w:r>
              <w:t>From driver dispatch to rider pickup.</w:t>
            </w:r>
          </w:p>
        </w:tc>
      </w:tr>
      <w:tr>
        <w:tc>
          <w:tcPr>
            <w:tcW w:type="dxa" w:w="1728"/>
            <w:vAlign w:val="center"/>
          </w:tcPr>
          <w:p>
            <w:r>
              <w:t>In-vehicle time</w:t>
            </w:r>
          </w:p>
        </w:tc>
        <w:tc>
          <w:tcPr>
            <w:tcW w:type="dxa" w:w="2304"/>
            <w:vAlign w:val="center"/>
          </w:tcPr>
          <w:p>
            <w:r>
              <w:t>in-vehicle time</w:t>
            </w:r>
          </w:p>
        </w:tc>
        <w:tc>
          <w:tcPr>
            <w:tcW w:type="dxa" w:w="2160"/>
            <w:vAlign w:val="center"/>
          </w:tcPr>
          <w:p>
            <w:r>
              <w:t>车内行程时间</w:t>
            </w:r>
          </w:p>
        </w:tc>
        <w:tc>
          <w:tcPr>
            <w:tcW w:type="dxa" w:w="4320"/>
            <w:vAlign w:val="center"/>
          </w:tcPr>
          <w:p>
            <w:r>
              <w:t>From pickup to drop-off.</w:t>
            </w:r>
          </w:p>
        </w:tc>
      </w:tr>
      <w:tr>
        <w:tc>
          <w:tcPr>
            <w:tcW w:type="dxa" w:w="1728"/>
            <w:vAlign w:val="center"/>
          </w:tcPr>
          <w:p>
            <w:r>
              <w:t>Trip completion</w:t>
            </w:r>
          </w:p>
        </w:tc>
        <w:tc>
          <w:tcPr>
            <w:tcW w:type="dxa" w:w="2304"/>
            <w:vAlign w:val="center"/>
          </w:tcPr>
          <w:p>
            <w:r>
              <w:t>trip completion</w:t>
            </w:r>
          </w:p>
        </w:tc>
        <w:tc>
          <w:tcPr>
            <w:tcW w:type="dxa" w:w="2160"/>
            <w:vAlign w:val="center"/>
          </w:tcPr>
          <w:p>
            <w:r>
              <w:t>行程完成</w:t>
            </w:r>
          </w:p>
        </w:tc>
        <w:tc>
          <w:tcPr>
            <w:tcW w:type="dxa" w:w="4320"/>
            <w:vAlign w:val="center"/>
          </w:tcPr>
          <w:p>
            <w:r>
              <w:t>Often used as a key event type.</w:t>
            </w:r>
          </w:p>
        </w:tc>
      </w:tr>
      <w:tr>
        <w:tc>
          <w:tcPr>
            <w:tcW w:type="dxa" w:w="1728"/>
            <w:vAlign w:val="center"/>
          </w:tcPr>
          <w:p>
            <w:r>
              <w:t>Statistical counter</w:t>
            </w:r>
          </w:p>
        </w:tc>
        <w:tc>
          <w:tcPr>
            <w:tcW w:type="dxa" w:w="2304"/>
            <w:vAlign w:val="center"/>
          </w:tcPr>
          <w:p>
            <w:r>
              <w:t>statistical counter</w:t>
            </w:r>
          </w:p>
        </w:tc>
        <w:tc>
          <w:tcPr>
            <w:tcW w:type="dxa" w:w="2160"/>
            <w:vAlign w:val="center"/>
          </w:tcPr>
          <w:p>
            <w:r>
              <w:t>统计计数器</w:t>
            </w:r>
          </w:p>
        </w:tc>
        <w:tc>
          <w:tcPr>
            <w:tcW w:type="dxa" w:w="4320"/>
            <w:vAlign w:val="center"/>
          </w:tcPr>
          <w:p>
            <w:r>
              <w:t>A running counter used to compute output measures.</w:t>
            </w:r>
          </w:p>
        </w:tc>
      </w:tr>
      <w:tr>
        <w:tc>
          <w:tcPr>
            <w:tcW w:type="dxa" w:w="1728"/>
            <w:vAlign w:val="center"/>
          </w:tcPr>
          <w:p>
            <w:r>
              <w:t>Accumulator</w:t>
            </w:r>
          </w:p>
        </w:tc>
        <w:tc>
          <w:tcPr>
            <w:tcW w:type="dxa" w:w="2304"/>
            <w:vAlign w:val="center"/>
          </w:tcPr>
          <w:p>
            <w:r>
              <w:t>accumulator</w:t>
            </w:r>
          </w:p>
        </w:tc>
        <w:tc>
          <w:tcPr>
            <w:tcW w:type="dxa" w:w="2160"/>
            <w:vAlign w:val="center"/>
          </w:tcPr>
          <w:p>
            <w:r>
              <w:t>累计量/累加器</w:t>
            </w:r>
          </w:p>
        </w:tc>
        <w:tc>
          <w:tcPr>
            <w:tcW w:type="dxa" w:w="4320"/>
            <w:vAlign w:val="center"/>
          </w:tcPr>
          <w:p>
            <w:r>
              <w:t>Running totals such as total waiting time or busy time.</w:t>
            </w:r>
          </w:p>
        </w:tc>
      </w:tr>
      <w:tr>
        <w:tc>
          <w:tcPr>
            <w:tcW w:type="dxa" w:w="1728"/>
            <w:vAlign w:val="center"/>
          </w:tcPr>
          <w:p>
            <w:r>
              <w:t>Collected statistics</w:t>
            </w:r>
          </w:p>
        </w:tc>
        <w:tc>
          <w:tcPr>
            <w:tcW w:type="dxa" w:w="2304"/>
            <w:vAlign w:val="center"/>
          </w:tcPr>
          <w:p>
            <w:r>
              <w:t>collected statistics</w:t>
            </w:r>
          </w:p>
        </w:tc>
        <w:tc>
          <w:tcPr>
            <w:tcW w:type="dxa" w:w="2160"/>
            <w:vAlign w:val="center"/>
          </w:tcPr>
          <w:p>
            <w:r>
              <w:t>收集的统计量</w:t>
            </w:r>
          </w:p>
        </w:tc>
        <w:tc>
          <w:tcPr>
            <w:tcW w:type="dxa" w:w="4320"/>
            <w:vAlign w:val="center"/>
          </w:tcPr>
          <w:p>
            <w:r>
              <w:t>Statistics updated during the run.</w:t>
            </w:r>
          </w:p>
        </w:tc>
      </w:tr>
      <w:tr>
        <w:tc>
          <w:tcPr>
            <w:tcW w:type="dxa" w:w="1728"/>
            <w:vAlign w:val="center"/>
          </w:tcPr>
          <w:p>
            <w:r>
              <w:t>Performance measure</w:t>
            </w:r>
          </w:p>
        </w:tc>
        <w:tc>
          <w:tcPr>
            <w:tcW w:type="dxa" w:w="2304"/>
            <w:vAlign w:val="center"/>
          </w:tcPr>
          <w:p>
            <w:r>
              <w:t>performance measure</w:t>
            </w:r>
          </w:p>
        </w:tc>
        <w:tc>
          <w:tcPr>
            <w:tcW w:type="dxa" w:w="2160"/>
            <w:vAlign w:val="center"/>
          </w:tcPr>
          <w:p>
            <w:r>
              <w:t>绩效度量</w:t>
            </w:r>
          </w:p>
        </w:tc>
        <w:tc>
          <w:tcPr>
            <w:tcW w:type="dxa" w:w="4320"/>
            <w:vAlign w:val="center"/>
          </w:tcPr>
          <w:p>
            <w:r>
              <w:t>A broad term covering quantities used to evaluate the system.</w:t>
            </w:r>
          </w:p>
        </w:tc>
      </w:tr>
      <w:tr>
        <w:tc>
          <w:tcPr>
            <w:tcW w:type="dxa" w:w="1728"/>
            <w:vAlign w:val="center"/>
          </w:tcPr>
          <w:p>
            <w:r>
              <w:t>KPI</w:t>
            </w:r>
          </w:p>
        </w:tc>
        <w:tc>
          <w:tcPr>
            <w:tcW w:type="dxa" w:w="2304"/>
            <w:vAlign w:val="center"/>
          </w:tcPr>
          <w:p>
            <w:r>
              <w:t>key performance indicator (KPI)</w:t>
            </w:r>
          </w:p>
        </w:tc>
        <w:tc>
          <w:tcPr>
            <w:tcW w:type="dxa" w:w="2160"/>
            <w:vAlign w:val="center"/>
          </w:tcPr>
          <w:p>
            <w:r>
              <w:t>关键绩效指标</w:t>
            </w:r>
          </w:p>
        </w:tc>
        <w:tc>
          <w:tcPr>
            <w:tcW w:type="dxa" w:w="4320"/>
            <w:vAlign w:val="center"/>
          </w:tcPr>
          <w:p>
            <w:r>
              <w:t>Use KPI/KPIs only for final evaluation indicators, not for state variables.</w:t>
            </w:r>
          </w:p>
        </w:tc>
      </w:tr>
      <w:tr>
        <w:tc>
          <w:tcPr>
            <w:tcW w:type="dxa" w:w="1728"/>
            <w:vAlign w:val="center"/>
          </w:tcPr>
          <w:p>
            <w:r>
              <w:t>Output metric</w:t>
            </w:r>
          </w:p>
        </w:tc>
        <w:tc>
          <w:tcPr>
            <w:tcW w:type="dxa" w:w="2304"/>
            <w:vAlign w:val="center"/>
          </w:tcPr>
          <w:p>
            <w:r>
              <w:t>output metric</w:t>
            </w:r>
          </w:p>
        </w:tc>
        <w:tc>
          <w:tcPr>
            <w:tcW w:type="dxa" w:w="2160"/>
            <w:vAlign w:val="center"/>
          </w:tcPr>
          <w:p>
            <w:r>
              <w:t>输出指标</w:t>
            </w:r>
          </w:p>
        </w:tc>
        <w:tc>
          <w:tcPr>
            <w:tcW w:type="dxa" w:w="4320"/>
            <w:vAlign w:val="center"/>
          </w:tcPr>
          <w:p>
            <w:r>
              <w:t>Can be used alongside KPI in technical sections.</w:t>
            </w:r>
          </w:p>
        </w:tc>
      </w:tr>
      <w:tr>
        <w:tc>
          <w:tcPr>
            <w:tcW w:type="dxa" w:w="1728"/>
            <w:vAlign w:val="center"/>
          </w:tcPr>
          <w:p>
            <w:r>
              <w:t>Average waiting time</w:t>
            </w:r>
          </w:p>
        </w:tc>
        <w:tc>
          <w:tcPr>
            <w:tcW w:type="dxa" w:w="2304"/>
            <w:vAlign w:val="center"/>
          </w:tcPr>
          <w:p>
            <w:r>
              <w:t>average waiting time</w:t>
            </w:r>
          </w:p>
        </w:tc>
        <w:tc>
          <w:tcPr>
            <w:tcW w:type="dxa" w:w="2160"/>
            <w:vAlign w:val="center"/>
          </w:tcPr>
          <w:p>
            <w:r>
              <w:t>平均等待时间</w:t>
            </w:r>
          </w:p>
        </w:tc>
        <w:tc>
          <w:tcPr>
            <w:tcW w:type="dxa" w:w="4320"/>
            <w:vAlign w:val="center"/>
          </w:tcPr>
          <w:p>
            <w:r>
              <w:t>Typical rider-side KPI.</w:t>
            </w:r>
          </w:p>
        </w:tc>
      </w:tr>
      <w:tr>
        <w:tc>
          <w:tcPr>
            <w:tcW w:type="dxa" w:w="1728"/>
            <w:vAlign w:val="center"/>
          </w:tcPr>
          <w:p>
            <w:r>
              <w:t>Driver utilization</w:t>
            </w:r>
          </w:p>
        </w:tc>
        <w:tc>
          <w:tcPr>
            <w:tcW w:type="dxa" w:w="2304"/>
            <w:vAlign w:val="center"/>
          </w:tcPr>
          <w:p>
            <w:r>
              <w:t>driver utilization</w:t>
            </w:r>
          </w:p>
        </w:tc>
        <w:tc>
          <w:tcPr>
            <w:tcW w:type="dxa" w:w="2160"/>
            <w:vAlign w:val="center"/>
          </w:tcPr>
          <w:p>
            <w:r>
              <w:t>司机利用率</w:t>
            </w:r>
          </w:p>
        </w:tc>
        <w:tc>
          <w:tcPr>
            <w:tcW w:type="dxa" w:w="4320"/>
            <w:vAlign w:val="center"/>
          </w:tcPr>
          <w:p>
            <w:r>
              <w:t>Busy time divided by available simulation time.</w:t>
            </w:r>
          </w:p>
        </w:tc>
      </w:tr>
      <w:tr>
        <w:tc>
          <w:tcPr>
            <w:tcW w:type="dxa" w:w="1728"/>
            <w:vAlign w:val="center"/>
          </w:tcPr>
          <w:p>
            <w:r>
              <w:t>Match rate</w:t>
            </w:r>
          </w:p>
        </w:tc>
        <w:tc>
          <w:tcPr>
            <w:tcW w:type="dxa" w:w="2304"/>
            <w:vAlign w:val="center"/>
          </w:tcPr>
          <w:p>
            <w:r>
              <w:t>match rate</w:t>
            </w:r>
          </w:p>
        </w:tc>
        <w:tc>
          <w:tcPr>
            <w:tcW w:type="dxa" w:w="2160"/>
            <w:vAlign w:val="center"/>
          </w:tcPr>
          <w:p>
            <w:r>
              <w:t>匹配成功率</w:t>
            </w:r>
          </w:p>
        </w:tc>
        <w:tc>
          <w:tcPr>
            <w:tcW w:type="dxa" w:w="4320"/>
            <w:vAlign w:val="center"/>
          </w:tcPr>
          <w:p>
            <w:r>
              <w:t>Successfully matched riders divided by total requests.</w:t>
            </w:r>
          </w:p>
        </w:tc>
      </w:tr>
      <w:tr>
        <w:tc>
          <w:tcPr>
            <w:tcW w:type="dxa" w:w="1728"/>
            <w:vAlign w:val="center"/>
          </w:tcPr>
          <w:p>
            <w:r>
              <w:t>Average earnings per hour</w:t>
            </w:r>
          </w:p>
        </w:tc>
        <w:tc>
          <w:tcPr>
            <w:tcW w:type="dxa" w:w="2304"/>
            <w:vAlign w:val="center"/>
          </w:tcPr>
          <w:p>
            <w:r>
              <w:t>average earnings per hour</w:t>
            </w:r>
          </w:p>
        </w:tc>
        <w:tc>
          <w:tcPr>
            <w:tcW w:type="dxa" w:w="2160"/>
            <w:vAlign w:val="center"/>
          </w:tcPr>
          <w:p>
            <w:r>
              <w:t>平均每小时收入</w:t>
            </w:r>
          </w:p>
        </w:tc>
        <w:tc>
          <w:tcPr>
            <w:tcW w:type="dxa" w:w="4320"/>
            <w:vAlign w:val="center"/>
          </w:tcPr>
          <w:p>
            <w:r>
              <w:t>Driver-side KPI named in the project brief.</w:t>
            </w:r>
          </w:p>
        </w:tc>
      </w:tr>
      <w:tr>
        <w:tc>
          <w:tcPr>
            <w:tcW w:type="dxa" w:w="1728"/>
            <w:vAlign w:val="center"/>
          </w:tcPr>
          <w:p>
            <w:r>
              <w:t>Fairness among drivers</w:t>
            </w:r>
          </w:p>
        </w:tc>
        <w:tc>
          <w:tcPr>
            <w:tcW w:type="dxa" w:w="2304"/>
            <w:vAlign w:val="center"/>
          </w:tcPr>
          <w:p>
            <w:r>
              <w:t>fairness among drivers</w:t>
            </w:r>
          </w:p>
        </w:tc>
        <w:tc>
          <w:tcPr>
            <w:tcW w:type="dxa" w:w="2160"/>
            <w:vAlign w:val="center"/>
          </w:tcPr>
          <w:p>
            <w:r>
              <w:t>司机之间的公平性</w:t>
            </w:r>
          </w:p>
        </w:tc>
        <w:tc>
          <w:tcPr>
            <w:tcW w:type="dxa" w:w="4320"/>
            <w:vAlign w:val="center"/>
          </w:tcPr>
          <w:p>
            <w:r>
              <w:t>Driver-side evaluation dimension in the project brief.</w:t>
            </w:r>
          </w:p>
        </w:tc>
      </w:tr>
      <w:tr>
        <w:tc>
          <w:tcPr>
            <w:tcW w:type="dxa" w:w="1728"/>
            <w:vAlign w:val="center"/>
          </w:tcPr>
          <w:p>
            <w:r>
              <w:t>Resting time</w:t>
            </w:r>
          </w:p>
        </w:tc>
        <w:tc>
          <w:tcPr>
            <w:tcW w:type="dxa" w:w="2304"/>
            <w:vAlign w:val="center"/>
          </w:tcPr>
          <w:p>
            <w:r>
              <w:t>resting time</w:t>
            </w:r>
          </w:p>
        </w:tc>
        <w:tc>
          <w:tcPr>
            <w:tcW w:type="dxa" w:w="2160"/>
            <w:vAlign w:val="center"/>
          </w:tcPr>
          <w:p>
            <w:r>
              <w:t>休息时间</w:t>
            </w:r>
          </w:p>
        </w:tc>
        <w:tc>
          <w:tcPr>
            <w:tcW w:type="dxa" w:w="4320"/>
            <w:vAlign w:val="center"/>
          </w:tcPr>
          <w:p>
            <w:r>
              <w:t>Driver-side evaluation dimension in the project brief.</w:t>
            </w:r>
          </w:p>
        </w:tc>
      </w:tr>
      <w:tr>
        <w:tc>
          <w:tcPr>
            <w:tcW w:type="dxa" w:w="1728"/>
            <w:vAlign w:val="center"/>
          </w:tcPr>
          <w:p>
            <w:r>
              <w:t>Scenario analysis</w:t>
            </w:r>
          </w:p>
        </w:tc>
        <w:tc>
          <w:tcPr>
            <w:tcW w:type="dxa" w:w="2304"/>
            <w:vAlign w:val="center"/>
          </w:tcPr>
          <w:p>
            <w:r>
              <w:t>scenario analysis</w:t>
            </w:r>
          </w:p>
        </w:tc>
        <w:tc>
          <w:tcPr>
            <w:tcW w:type="dxa" w:w="2160"/>
            <w:vAlign w:val="center"/>
          </w:tcPr>
          <w:p>
            <w:r>
              <w:t>情景分析</w:t>
            </w:r>
          </w:p>
        </w:tc>
        <w:tc>
          <w:tcPr>
            <w:tcW w:type="dxa" w:w="4320"/>
            <w:vAlign w:val="center"/>
          </w:tcPr>
          <w:p>
            <w:r>
              <w:t>Used when comparing improvement options.</w:t>
            </w:r>
          </w:p>
        </w:tc>
      </w:tr>
      <w:tr>
        <w:tc>
          <w:tcPr>
            <w:tcW w:type="dxa" w:w="1728"/>
            <w:vAlign w:val="center"/>
          </w:tcPr>
          <w:p>
            <w:r>
              <w:t>Sensitivity analysis</w:t>
            </w:r>
          </w:p>
        </w:tc>
        <w:tc>
          <w:tcPr>
            <w:tcW w:type="dxa" w:w="2304"/>
            <w:vAlign w:val="center"/>
          </w:tcPr>
          <w:p>
            <w:r>
              <w:t>sensitivity analysis</w:t>
            </w:r>
          </w:p>
        </w:tc>
        <w:tc>
          <w:tcPr>
            <w:tcW w:type="dxa" w:w="2160"/>
            <w:vAlign w:val="center"/>
          </w:tcPr>
          <w:p>
            <w:r>
              <w:t>敏感性分析</w:t>
            </w:r>
          </w:p>
        </w:tc>
        <w:tc>
          <w:tcPr>
            <w:tcW w:type="dxa" w:w="4320"/>
            <w:vAlign w:val="center"/>
          </w:tcPr>
          <w:p>
            <w:r>
              <w:t>Used when testing parameter changes.</w:t>
            </w:r>
          </w:p>
        </w:tc>
      </w:tr>
      <w:tr>
        <w:tc>
          <w:tcPr>
            <w:tcW w:type="dxa" w:w="1728"/>
            <w:vAlign w:val="center"/>
          </w:tcPr>
          <w:p>
            <w:r>
              <w:t>Assumption</w:t>
            </w:r>
          </w:p>
        </w:tc>
        <w:tc>
          <w:tcPr>
            <w:tcW w:type="dxa" w:w="2304"/>
            <w:vAlign w:val="center"/>
          </w:tcPr>
          <w:p>
            <w:r>
              <w:t>assumption</w:t>
            </w:r>
          </w:p>
        </w:tc>
        <w:tc>
          <w:tcPr>
            <w:tcW w:type="dxa" w:w="2160"/>
            <w:vAlign w:val="center"/>
          </w:tcPr>
          <w:p>
            <w:r>
              <w:t>假设</w:t>
            </w:r>
          </w:p>
        </w:tc>
        <w:tc>
          <w:tcPr>
            <w:tcW w:type="dxa" w:w="4320"/>
            <w:vAlign w:val="center"/>
          </w:tcPr>
          <w:p>
            <w:r>
              <w:t>Model assumption or simplifying assumption.</w:t>
            </w:r>
          </w:p>
        </w:tc>
      </w:tr>
      <w:tr>
        <w:tc>
          <w:tcPr>
            <w:tcW w:type="dxa" w:w="1728"/>
            <w:vAlign w:val="center"/>
          </w:tcPr>
          <w:p>
            <w:r>
              <w:t>Euclidean distance</w:t>
            </w:r>
          </w:p>
        </w:tc>
        <w:tc>
          <w:tcPr>
            <w:tcW w:type="dxa" w:w="2304"/>
            <w:vAlign w:val="center"/>
          </w:tcPr>
          <w:p>
            <w:r>
              <w:t>Euclidean distance</w:t>
            </w:r>
          </w:p>
        </w:tc>
        <w:tc>
          <w:tcPr>
            <w:tcW w:type="dxa" w:w="2160"/>
            <w:vAlign w:val="center"/>
          </w:tcPr>
          <w:p>
            <w:r>
              <w:t>欧几里得距离</w:t>
            </w:r>
          </w:p>
        </w:tc>
        <w:tc>
          <w:tcPr>
            <w:tcW w:type="dxa" w:w="4320"/>
            <w:vAlign w:val="center"/>
          </w:tcPr>
          <w:p>
            <w:r>
              <w:t>Distance metric specified in the project brief.</w:t>
            </w:r>
          </w:p>
        </w:tc>
      </w:tr>
      <w:tr>
        <w:tc>
          <w:tcPr>
            <w:tcW w:type="dxa" w:w="1728"/>
            <w:vAlign w:val="center"/>
          </w:tcPr>
          <w:p>
            <w:r>
              <w:t>Simulation horizon</w:t>
            </w:r>
          </w:p>
        </w:tc>
        <w:tc>
          <w:tcPr>
            <w:tcW w:type="dxa" w:w="2304"/>
            <w:vAlign w:val="center"/>
          </w:tcPr>
          <w:p>
            <w:r>
              <w:t>simulation horizon</w:t>
            </w:r>
          </w:p>
        </w:tc>
        <w:tc>
          <w:tcPr>
            <w:tcW w:type="dxa" w:w="2160"/>
            <w:vAlign w:val="center"/>
          </w:tcPr>
          <w:p>
            <w:r>
              <w:t>仿真时域/仿真时间范围</w:t>
            </w:r>
          </w:p>
        </w:tc>
        <w:tc>
          <w:tcPr>
            <w:tcW w:type="dxa" w:w="4320"/>
            <w:vAlign w:val="center"/>
          </w:tcPr>
          <w:p>
            <w:r>
              <w:t>The total length of a run.</w:t>
            </w:r>
          </w:p>
        </w:tc>
      </w:tr>
      <w:tr>
        <w:tc>
          <w:tcPr>
            <w:tcW w:type="dxa" w:w="1728"/>
            <w:vAlign w:val="center"/>
          </w:tcPr>
          <w:p>
            <w:r>
              <w:t>Warm-up period</w:t>
            </w:r>
          </w:p>
        </w:tc>
        <w:tc>
          <w:tcPr>
            <w:tcW w:type="dxa" w:w="2304"/>
            <w:vAlign w:val="center"/>
          </w:tcPr>
          <w:p>
            <w:r>
              <w:t>warm-up period</w:t>
            </w:r>
          </w:p>
        </w:tc>
        <w:tc>
          <w:tcPr>
            <w:tcW w:type="dxa" w:w="2160"/>
            <w:vAlign w:val="center"/>
          </w:tcPr>
          <w:p>
            <w:r>
              <w:t>预热期</w:t>
            </w:r>
          </w:p>
        </w:tc>
        <w:tc>
          <w:tcPr>
            <w:tcW w:type="dxa" w:w="4320"/>
            <w:vAlign w:val="center"/>
          </w:tcPr>
          <w:p>
            <w:r>
              <w:t>Use only if your methodology includes one.</w:t>
            </w:r>
          </w:p>
        </w:tc>
      </w:tr>
      <w:tr>
        <w:tc>
          <w:tcPr>
            <w:tcW w:type="dxa" w:w="1728"/>
            <w:vAlign w:val="center"/>
          </w:tcPr>
          <w:p>
            <w:r>
              <w:t>Steady-state</w:t>
            </w:r>
          </w:p>
        </w:tc>
        <w:tc>
          <w:tcPr>
            <w:tcW w:type="dxa" w:w="2304"/>
            <w:vAlign w:val="center"/>
          </w:tcPr>
          <w:p>
            <w:r>
              <w:t>steady-state</w:t>
            </w:r>
          </w:p>
        </w:tc>
        <w:tc>
          <w:tcPr>
            <w:tcW w:type="dxa" w:w="2160"/>
            <w:vAlign w:val="center"/>
          </w:tcPr>
          <w:p>
            <w:r>
              <w:t>稳态</w:t>
            </w:r>
          </w:p>
        </w:tc>
        <w:tc>
          <w:tcPr>
            <w:tcW w:type="dxa" w:w="4320"/>
            <w:vAlign w:val="center"/>
          </w:tcPr>
          <w:p>
            <w:r>
              <w:t>Use only if analytically justified.</w:t>
            </w:r>
          </w:p>
        </w:tc>
      </w:tr>
      <w:tr>
        <w:tc>
          <w:tcPr>
            <w:tcW w:type="dxa" w:w="1728"/>
            <w:vAlign w:val="center"/>
          </w:tcPr>
          <w:p>
            <w:r>
              <w:t>Transient analysis</w:t>
            </w:r>
          </w:p>
        </w:tc>
        <w:tc>
          <w:tcPr>
            <w:tcW w:type="dxa" w:w="2304"/>
            <w:vAlign w:val="center"/>
          </w:tcPr>
          <w:p>
            <w:r>
              <w:t>transient analysis</w:t>
            </w:r>
          </w:p>
        </w:tc>
        <w:tc>
          <w:tcPr>
            <w:tcW w:type="dxa" w:w="2160"/>
            <w:vAlign w:val="center"/>
          </w:tcPr>
          <w:p>
            <w:r>
              <w:t>瞬态分析</w:t>
            </w:r>
          </w:p>
        </w:tc>
        <w:tc>
          <w:tcPr>
            <w:tcW w:type="dxa" w:w="4320"/>
            <w:vAlign w:val="center"/>
          </w:tcPr>
          <w:p>
            <w:r>
              <w:t>Use only if relevant to your design.</w:t>
            </w:r>
          </w:p>
        </w:tc>
      </w:tr>
    </w:tbl>
    <w:p>
      <w:pPr>
        <w:pStyle w:val="Heading1"/>
      </w:pPr>
      <w:r>
        <w:t>4. Recommended Distinctions</w:t>
      </w:r>
    </w:p>
    <w:p>
      <w:r>
        <w:t>State vs. statistics: a state variable is needed to determine how the simulation evolves next; a statistical counter is maintained to evaluate performance.</w:t>
      </w:r>
    </w:p>
    <w:p>
      <w:r>
        <w:t>Statistics vs. KPIs: statistics are updated during the run, whereas KPIs are usually computed from those statistics at the end of each replication or after combining multiple replications.</w:t>
      </w:r>
    </w:p>
    <w:p>
      <w:r>
        <w:t>FEL vs. event calendar: use “future event list (FEL)” in formal DES writing; keep “event calendar” when referring directly to the course examples or reproducing their table structure.</w:t>
      </w:r>
    </w:p>
    <w:p>
      <w:r>
        <w:t>DES model vs. simulation framework: “DES model” refers to the specific model of BoxCar; “simulation framework” is broader and may refer to the overall implementation structure.</w:t>
      </w:r>
    </w:p>
    <w:p>
      <w:pPr>
        <w:pStyle w:val="Heading1"/>
      </w:pPr>
      <w:r>
        <w:t>5. Locked Terms for Immediate Use</w:t>
      </w:r>
    </w:p>
    <w:p>
      <w:r>
        <w:rPr>
          <w:b/>
        </w:rPr>
        <w:t>DES model</w:t>
      </w:r>
    </w:p>
    <w:p>
      <w:r>
        <w:rPr>
          <w:b/>
        </w:rPr>
        <w:t>system state</w:t>
      </w:r>
    </w:p>
    <w:p>
      <w:r>
        <w:rPr>
          <w:b/>
        </w:rPr>
        <w:t>state variable</w:t>
      </w:r>
    </w:p>
    <w:p>
      <w:r>
        <w:rPr>
          <w:b/>
        </w:rPr>
        <w:t>event</w:t>
      </w:r>
    </w:p>
    <w:p>
      <w:r>
        <w:rPr>
          <w:b/>
        </w:rPr>
        <w:t>future event list (FEL)</w:t>
      </w:r>
    </w:p>
    <w:p>
      <w:r>
        <w:rPr>
          <w:b/>
        </w:rPr>
        <w:t>event calendar</w:t>
      </w:r>
    </w:p>
    <w:p>
      <w:r>
        <w:rPr>
          <w:b/>
        </w:rPr>
        <w:t>simulation clock</w:t>
      </w:r>
    </w:p>
    <w:p>
      <w:r>
        <w:rPr>
          <w:b/>
        </w:rPr>
        <w:t>statistical counter</w:t>
      </w:r>
    </w:p>
    <w:p>
      <w:r>
        <w:rPr>
          <w:b/>
        </w:rPr>
        <w:t>accumulator</w:t>
      </w:r>
    </w:p>
    <w:p>
      <w:r>
        <w:rPr>
          <w:b/>
        </w:rPr>
        <w:t>collected statistics</w:t>
      </w:r>
    </w:p>
    <w:p>
      <w:r>
        <w:rPr>
          <w:b/>
        </w:rPr>
        <w:t>key performance indicator (KPI)</w:t>
      </w:r>
    </w:p>
    <w:p>
      <w:r>
        <w:rPr>
          <w:b/>
        </w:rPr>
        <w:t>average waiting time</w:t>
      </w:r>
    </w:p>
    <w:p>
      <w:r>
        <w:rPr>
          <w:b/>
        </w:rPr>
        <w:t>driver utilization</w:t>
      </w:r>
    </w:p>
    <w:p>
      <w:r>
        <w:rPr>
          <w:b/>
        </w:rPr>
        <w:t>match rate</w:t>
      </w:r>
    </w:p>
    <w:p>
      <w:r>
        <w:rPr>
          <w:b/>
        </w:rPr>
        <w:t>matching rule</w:t>
      </w:r>
    </w:p>
    <w:p>
      <w:r>
        <w:rPr>
          <w:b/>
        </w:rPr>
        <w:t>dispatch logic</w:t>
      </w:r>
    </w:p>
    <w:p>
      <w:r>
        <w:rPr>
          <w:b/>
        </w:rPr>
        <w:t xml:space="preserve">Source basis: </w:t>
      </w:r>
      <w:r>
        <w:t>Project terminology and KPI dimensions were aligned with the BoxCar project brief and the course DES examples provided by the user.</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