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Mid-Project Progress Report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University Teaching Time Optimisation — Scenario 2: TIME  |  Group 17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Yang Feng (s2775736), Zongyuan Wang (s2794231), Yumeng Yao (s2792276), Yifei Wang (s2328864)</w:t>
      </w:r>
    </w:p>
    <w:p>
      <w:pPr>
        <w:pBdr>
          <w:bottom w:val="single" w:color="1F3864" w:sz="6" w:space="4"/>
        </w:pBdr>
        <w:spacing w:after="160" w:before="0"/>
      </w:pPr>
      <w:r>
        <w:t xml:space="preserve"/>
      </w:r>
    </w:p>
    <w:p>
      <w:pPr>
        <w:pBdr>
          <w:bottom w:val="single" w:color="1F3864" w:sz="4" w:space="3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PROJECT GOAL</w:t>
      </w:r>
    </w:p>
    <w:p>
      <w:pPr>
        <w:spacing w:after="0" w:before="40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sz w:val="22"/>
          <w:szCs w:val="22"/>
        </w:rPr>
        <w:t xml:space="preserve">The project aims to quantify the feasibility and impact of two proposed reductions to the University of Edinburgh's core teaching schedule, providing the timetabling team with data-driven evidence to inform policy decisions on compressed teaching hours. Specifically, the project will:</w:t>
      </w:r>
    </w:p>
    <w:p>
      <w:pPr>
        <w:spacing w:after="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1 (S1 — 9am to 5pm):</w:t>
      </w:r>
      <w:r>
        <w:rPr>
          <w:rFonts w:ascii="Arial" w:cs="Arial" w:eastAsia="Arial" w:hAnsi="Arial"/>
          <w:sz w:val="22"/>
          <w:szCs w:val="22"/>
        </w:rPr>
        <w:t xml:space="preserve"> Assess whether all teaching events can be accommodated within a Monday-to-Friday 9:00–17:00 window (eliminating the 17:00–18:00 slot), and determine the scale of rescheduling required.</w:t>
      </w:r>
    </w:p>
    <w:p>
      <w:pPr>
        <w:pStyle w:val="ListParagraph"/>
        <w:numPr>
          <w:ilvl w:val="0"/>
          <w:numId w:val="2"/>
        </w:numPr>
        <w:spacing w:after="20" w:before="20"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2 (S2 — No Friday afternoon):</w:t>
      </w:r>
      <w:r>
        <w:rPr>
          <w:rFonts w:ascii="Arial" w:cs="Arial" w:eastAsia="Arial" w:hAnsi="Arial"/>
          <w:sz w:val="22"/>
          <w:szCs w:val="22"/>
        </w:rPr>
        <w:t xml:space="preserve"> Assess whether eliminating all teaching on Friday after 12:00 is feasible, and measure its impact on the rest of the week.</w:t>
      </w:r>
    </w:p>
    <w:p>
      <w:pPr>
        <w:spacing w:after="0" w:before="40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sz w:val="22"/>
          <w:szCs w:val="22"/>
        </w:rPr>
        <w:t xml:space="preserve">For each scenario the project delivers: (a) a count and breakdown of events requiring rescheduling, distinguishing whole-class lectures from subgroup sessions; (b) a clash analysis measuring how many students face overlapping timetables; (c) a lunch-break feasibility measure showing the proportion of students with a free 12:00–14:00 window; (d) room and timeslot utilisation comparisons; and (e) optimised rescheduling solutions using both an exact Mixed Integer Programming (MIP) model and a greedy/local-search heuristic.</w:t>
      </w:r>
    </w:p>
    <w:p>
      <w:pPr>
        <w:spacing w:after="0" w:before="40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sz w:val="22"/>
          <w:szCs w:val="22"/>
        </w:rPr>
        <w:t xml:space="preserve">The added value to the timetabling team is direct: rather than manual inspection of thousands of events, the project provides a fully automated analytical pipeline, reproducible on any future data snapshot, together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interpretable visualisations</w:t>
      </w:r>
      <w:r>
        <w:rPr>
          <w:rFonts w:ascii="Arial" w:cs="Arial" w:eastAsia="Arial" w:hAnsi="Arial"/>
          <w:sz w:val="22"/>
          <w:szCs w:val="22"/>
        </w:rPr>
        <w:t xml:space="preserve"> and concrete numeric estimates of the trade-offs between the two policy options.</w:t>
      </w:r>
    </w:p>
    <w:p>
      <w:pPr>
        <w:spacing w:after="0" w:before="20"/>
      </w:pPr>
      <w:r>
        <w:t xml:space="preserve"/>
      </w:r>
    </w:p>
    <w:p>
      <w:pPr>
        <w:pBdr>
          <w:bottom w:val="single" w:color="1F3864" w:sz="4" w:space="3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CURRENT STATUS</w:t>
      </w:r>
    </w:p>
    <w:p>
      <w:pPr>
        <w:spacing w:after="0" w:before="40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The project is on track and ahead of schedule.</w:t>
      </w:r>
      <w:r>
        <w:rPr>
          <w:rFonts w:ascii="Arial" w:cs="Arial" w:eastAsia="Arial" w:hAnsi="Arial"/>
          <w:sz w:val="22"/>
          <w:szCs w:val="22"/>
        </w:rPr>
        <w:t xml:space="preserve">  As of 25 February 2026 (Week 3 of 9), all Phase 1 tasks (data preparation) and all Phase 2 tasks (time-constraint analysis) are complete. The heuristic optimisation model — originally planned for Weeks 5–7 — has already been built and tested, placing the team approximately two weeks ahead of the Gantt chart.</w:t>
      </w:r>
    </w:p>
    <w:p>
      <w:pPr>
        <w:spacing w:after="0" w:before="40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sz w:val="22"/>
          <w:szCs w:val="22"/>
        </w:rPr>
        <w:t xml:space="preserve">The primary technical challenge encountered was the scale of the student-event conflict graph: with 25,437 students and 31,715 events, building pairwise conflict pairs exhaustively risks O(n²) memory growth. This was mitigated by processing students in chunks and using Pandas groupby operations rather than nested loops. The clash detection routine was also redesigned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deduplicate recurring weekly slots</w:t>
      </w:r>
      <w:r>
        <w:rPr>
          <w:rFonts w:ascii="Arial" w:cs="Arial" w:eastAsia="Arial" w:hAnsi="Arial"/>
          <w:sz w:val="22"/>
          <w:szCs w:val="22"/>
        </w:rPr>
        <w:t xml:space="preserve"> before counting overlaps, preventing inflation of clash counts caused by the same lecture appearing as multiple Event_IDs across different teaching weeks.</w:t>
      </w:r>
    </w:p>
    <w:p>
      <w:pPr>
        <w:spacing w:after="0" w:before="40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MIP optimisation component (using FICO Xpress) is currently being finalised: the model structure is complete but solver runs on the full event set are still being tuned for time-limit compliance. This is not expected to delay Milestone 2 (14 March 2026).</w:t>
      </w:r>
    </w:p>
    <w:p>
      <w:pPr>
        <w:spacing w:after="0" w:before="20"/>
      </w:pPr>
      <w:r>
        <w:t xml:space="preserve"/>
      </w:r>
    </w:p>
    <w:p>
      <w:pPr>
        <w:pBdr>
          <w:bottom w:val="single" w:color="1F3864" w:sz="4" w:space="3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TASKS OVERVIEW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200"/>
        <w:gridCol w:w="2000"/>
        <w:gridCol w:w="2238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collection &amp; cleaning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Yao (YY)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events.csv, student_events.csv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Baseline utilisation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Wang Z (ZW)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baseline_*.csv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Literature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Yao (YY)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Literature summary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Constraint framework design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Wang Y (YW)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Constraint specification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9am-5pm feasibility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Feng (YF)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scenario_displaced_summary.csv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No-Friday-PM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Wang Z (ZW)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S2 displaced summary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Clash detection &amp;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Yao (YY)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clash_analysis.csv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Lunch break feasibility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Wang Y (YW)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lunch_break_analysis.csv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Utilisation impact comparison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Feng / Wang 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utilisation_comparison.csv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visualisation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Yao / Wang 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 figures (figures/*.png)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Sensitivity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Wang Z / Wang 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Sensitivity report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Heuristic optimisation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heuristic_*.csv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Done (ahead of plan)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MIP optimisation (Xpress)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mip_*.csv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 &amp; final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report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(W7-W9)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T11 (Sensitivity analysis) is the only Phase 3 task currently in progress; it will examine how results change under alternative definitions of a clash and different lunch-window durations. All other planned tasks through Week 5 are complete.</w:t>
      </w:r>
    </w:p>
    <w:p>
      <w:pPr>
        <w:spacing w:after="0" w:before="20"/>
      </w:pPr>
      <w:r>
        <w:t xml:space="preserve"/>
      </w:r>
    </w:p>
    <w:p>
      <w:pPr>
        <w:pBdr>
          <w:bottom w:val="single" w:color="1F3864" w:sz="4" w:space="3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KEY DECISIONS AND DELIVERABLES</w:t>
      </w:r>
    </w:p>
    <w:p>
      <w:pPr>
        <w:spacing w:after="0" w:before="40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following methodological decisions have been made:</w:t>
      </w:r>
    </w:p>
    <w:p>
      <w:pPr>
        <w:spacing w:after="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Feasibility-first optimisation:</w:t>
      </w:r>
      <w:r>
        <w:rPr>
          <w:rFonts w:ascii="Arial" w:cs="Arial" w:eastAsia="Arial" w:hAnsi="Arial"/>
          <w:sz w:val="22"/>
          <w:szCs w:val="22"/>
        </w:rPr>
        <w:t xml:space="preserve"> The MIP model prioritises satisfying hard constraints (every displaced event must be assigned a valid slot in the new window) before minimising soft objectives (clash count). This avoids reporting a false infeasibility when in fact a clash-free schedule is achievable.</w:t>
      </w:r>
    </w:p>
    <w:p>
      <w:pPr>
        <w:pStyle w:val="ListParagraph"/>
        <w:numPr>
          <w:ilvl w:val="0"/>
          <w:numId w:val="2"/>
        </w:numPr>
        <w:spacing w:after="20" w:before="20"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Lunch break as post-hoc metric:</w:t>
      </w:r>
      <w:r>
        <w:rPr>
          <w:rFonts w:ascii="Arial" w:cs="Arial" w:eastAsia="Arial" w:hAnsi="Arial"/>
          <w:sz w:val="22"/>
          <w:szCs w:val="22"/>
        </w:rPr>
        <w:t xml:space="preserve"> Rather than enforcing a lunch break as a hard constraint in the optimiser (which causes infeasibility for many students), lunch-window availability is computed as a descriptive metric after optimisation. This choice produces actionable statistics without artificially constraining the solver.</w:t>
      </w:r>
    </w:p>
    <w:p>
      <w:pPr>
        <w:pStyle w:val="ListParagraph"/>
        <w:numPr>
          <w:ilvl w:val="0"/>
          <w:numId w:val="2"/>
        </w:numPr>
        <w:spacing w:after="20" w:before="20"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Weekly-slot deduplication for clash detection:</w:t>
      </w:r>
      <w:r>
        <w:rPr>
          <w:rFonts w:ascii="Arial" w:cs="Arial" w:eastAsia="Arial" w:hAnsi="Arial"/>
          <w:sz w:val="22"/>
          <w:szCs w:val="22"/>
        </w:rPr>
        <w:t xml:space="preserve"> Clash counts are computed on deduplicated (module, day, start hour, semester) tuples per student, not on raw Event_IDs. This reflects real timetable conflicts (recurring weekly slots) rather than artefacts of data structure.</w:t>
      </w:r>
    </w:p>
    <w:p>
      <w:pPr>
        <w:pStyle w:val="ListParagraph"/>
        <w:numPr>
          <w:ilvl w:val="0"/>
          <w:numId w:val="2"/>
        </w:numPr>
        <w:spacing w:after="20" w:before="20"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Three-level clash severity:</w:t>
      </w:r>
      <w:r>
        <w:rPr>
          <w:rFonts w:ascii="Arial" w:cs="Arial" w:eastAsia="Arial" w:hAnsi="Arial"/>
          <w:sz w:val="22"/>
          <w:szCs w:val="22"/>
        </w:rPr>
        <w:t xml:space="preserve"> Clashes are classified as WholeClass-WholeClass (Severity 3), WholeClass-SubGroup (Severity 2), or SubGroup-SubGroup (Severity 1) to prioritise the most impactful conflicts in the objective function.</w:t>
      </w:r>
    </w:p>
    <w:p>
      <w:pPr>
        <w:pStyle w:val="ListParagraph"/>
        <w:numPr>
          <w:ilvl w:val="0"/>
          <w:numId w:val="2"/>
        </w:numPr>
        <w:spacing w:after="20" w:before="20"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Heuristic as MIP complement:</w:t>
      </w:r>
      <w:r>
        <w:rPr>
          <w:rFonts w:ascii="Arial" w:cs="Arial" w:eastAsia="Arial" w:hAnsi="Arial"/>
          <w:sz w:val="22"/>
          <w:szCs w:val="22"/>
        </w:rPr>
        <w:t xml:space="preserve"> A greedy-first, local-search-improvement heuristic was implemented to handle the full event set (up to 2,000 events), providing fast, near-optimal solutions when MIP solver time limits prevent exact optimisation.</w:t>
      </w:r>
    </w:p>
    <w:p>
      <w:pPr>
        <w:spacing w:after="0" w:before="40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Finished deliverables (available in code/outputs/):</w:t>
      </w:r>
    </w:p>
    <w:p>
      <w:pPr>
        <w:spacing w:after="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40" w:lineRule="auto"/>
      </w:pPr>
      <w:r>
        <w:rPr>
          <w:rFonts w:ascii="Arial" w:cs="Arial" w:eastAsia="Arial" w:hAnsi="Arial"/>
          <w:sz w:val="22"/>
          <w:szCs w:val="22"/>
        </w:rPr>
        <w:t xml:space="preserve">Cleaned dataset: events.csv (31,715 events), student_events.csv (25,437 students), conflict_pairs.csv</w:t>
      </w:r>
    </w:p>
    <w:p>
      <w:pPr>
        <w:pStyle w:val="ListParagraph"/>
        <w:numPr>
          <w:ilvl w:val="0"/>
          <w:numId w:val="2"/>
        </w:numPr>
        <w:spacing w:after="20" w:before="20" w:line="240" w:lineRule="auto"/>
      </w:pPr>
      <w:r>
        <w:rPr>
          <w:rFonts w:ascii="Arial" w:cs="Arial" w:eastAsia="Arial" w:hAnsi="Arial"/>
          <w:sz w:val="22"/>
          <w:szCs w:val="22"/>
        </w:rPr>
        <w:t xml:space="preserve">Baseline analyses: baseline_timeslot_utilisation.csv, baseline_room_utilisation.csv</w:t>
      </w:r>
    </w:p>
    <w:p>
      <w:pPr>
        <w:pStyle w:val="ListParagraph"/>
        <w:numPr>
          <w:ilvl w:val="0"/>
          <w:numId w:val="2"/>
        </w:numPr>
        <w:spacing w:after="20" w:before="20" w:line="240" w:lineRule="auto"/>
      </w:pPr>
      <w:r>
        <w:rPr>
          <w:rFonts w:ascii="Arial" w:cs="Arial" w:eastAsia="Arial" w:hAnsi="Arial"/>
          <w:sz w:val="22"/>
          <w:szCs w:val="22"/>
        </w:rPr>
        <w:t xml:space="preserve">Scenario analyses: scenario_displaced_summary.csv, clash_analysis.csv, lunch_break_analysis.csv, utilisation_comparison.csv</w:t>
      </w:r>
    </w:p>
    <w:p>
      <w:pPr>
        <w:pStyle w:val="ListParagraph"/>
        <w:numPr>
          <w:ilvl w:val="0"/>
          <w:numId w:val="2"/>
        </w:numPr>
        <w:spacing w:after="20" w:before="20" w:line="240" w:lineRule="auto"/>
      </w:pPr>
      <w:r>
        <w:rPr>
          <w:rFonts w:ascii="Arial" w:cs="Arial" w:eastAsia="Arial" w:hAnsi="Arial"/>
          <w:sz w:val="22"/>
          <w:szCs w:val="22"/>
        </w:rPr>
        <w:t xml:space="preserve">Heuristic results: heuristic_assignment_S1/S2.csv, heuristic_summary_S1/S2.csv, heuristic_iteration_log_S1/S2.csv</w:t>
      </w:r>
    </w:p>
    <w:p>
      <w:pPr>
        <w:pStyle w:val="ListParagraph"/>
        <w:numPr>
          <w:ilvl w:val="0"/>
          <w:numId w:val="2"/>
        </w:numPr>
        <w:spacing w:after="20" w:before="20" w:line="240" w:lineRule="auto"/>
      </w:pPr>
      <w:r>
        <w:rPr>
          <w:rFonts w:ascii="Arial" w:cs="Arial" w:eastAsia="Arial" w:hAnsi="Arial"/>
          <w:sz w:val="22"/>
          <w:szCs w:val="22"/>
        </w:rPr>
        <w:t xml:space="preserve">Visualisations: 13 figures including utilisation heatmaps, displaced-events bar charts, clash comparison charts, and heuristic convergence curves</w:t>
      </w:r>
    </w:p>
    <w:p>
      <w:pPr>
        <w:spacing w:after="0" w:before="20"/>
      </w:pPr>
      <w:r>
        <w:t xml:space="preserve"/>
      </w:r>
    </w:p>
    <w:p>
      <w:pPr>
        <w:pBdr>
          <w:bottom w:val="single" w:color="1F3864" w:sz="4" w:space="3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PRELIMINARY RESULTS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2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(S0)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S1: 9am-5pm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S2: No Fri 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Events needing rescheduling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2,024 (6.38%)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2,693 (8.49%)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WholeClass events affected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691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737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Room utilisation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47.21%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49.14%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49.47%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Clash pairs in timetable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201,240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196,242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181,744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Students with clashes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56.85%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55.08%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53.63%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All-day lunch-free students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3.64%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4.01%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3.99%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Friday lunch-free students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38.77%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39.38%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70.17%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 for S1:</w:t>
      </w:r>
      <w:r>
        <w:rPr>
          <w:rFonts w:ascii="Arial" w:cs="Arial" w:eastAsia="Arial" w:hAnsi="Arial"/>
          <w:sz w:val="22"/>
          <w:szCs w:val="22"/>
        </w:rPr>
        <w:t xml:space="preserve"> Only 6.38% of events (2,024) fall outside the 9am–5pm window; of these, 691 are whole-class lectures spanning 686 modules. The heuristic reschedules 2,000 events and reduces the clash penalty score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65.7%</w:t>
      </w:r>
      <w:r>
        <w:rPr>
          <w:rFonts w:ascii="Arial" w:cs="Arial" w:eastAsia="Arial" w:hAnsi="Arial"/>
          <w:sz w:val="22"/>
          <w:szCs w:val="22"/>
        </w:rPr>
        <w:t xml:space="preserve"> (from 39,974 to 13,697) through local search, with 94% of events placed in clash-free slots.</w:t>
      </w:r>
    </w:p>
    <w:p>
      <w:pPr>
        <w:spacing w:after="0" w:before="40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 for S2:</w:t>
      </w:r>
      <w:r>
        <w:rPr>
          <w:rFonts w:ascii="Arial" w:cs="Arial" w:eastAsia="Arial" w:hAnsi="Arial"/>
          <w:sz w:val="22"/>
          <w:szCs w:val="22"/>
        </w:rPr>
        <w:t xml:space="preserve"> Removing Friday afternoon affects 8.49% of all events (2,693), virtually all concentrated on Friday itself (49.8% of Friday events displaced). The most notable benefit is a sharp rise in Friday lunch-break availability: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70.2% of students would be free on Friday 12-14:00</w:t>
      </w:r>
      <w:r>
        <w:rPr>
          <w:rFonts w:ascii="Arial" w:cs="Arial" w:eastAsia="Arial" w:hAnsi="Arial"/>
          <w:sz w:val="22"/>
          <w:szCs w:val="22"/>
        </w:rPr>
        <w:t xml:space="preserve"> under S2, compared to 38.8% in the baseline.</w:t>
      </w:r>
    </w:p>
    <w:p>
      <w:pPr>
        <w:spacing w:after="0" w:before="40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sz w:val="22"/>
          <w:szCs w:val="22"/>
        </w:rPr>
        <w:t xml:space="preserve">Both scenarios slightly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increase room utilisation</w:t>
      </w:r>
      <w:r>
        <w:rPr>
          <w:rFonts w:ascii="Arial" w:cs="Arial" w:eastAsia="Arial" w:hAnsi="Arial"/>
          <w:sz w:val="22"/>
          <w:szCs w:val="22"/>
        </w:rPr>
        <w:t xml:space="preserve"> (from 47.2% to approximately 49%), reflecting higher density of events in the reduced window. Existing timetable clashes (56.9% of students affected) are a pre-existing structural feature of the timetable, not introduced by either scenario; the optimiser can largely resolve newly-displaced events without adding new clashes.</w:t>
      </w:r>
    </w:p>
    <w:p>
      <w:pPr>
        <w:spacing w:after="0" w:before="20"/>
      </w:pPr>
      <w:r>
        <w:t xml:space="preserve"/>
      </w:r>
    </w:p>
    <w:p>
      <w:pPr>
        <w:pBdr>
          <w:bottom w:val="single" w:color="1F3864" w:sz="4" w:space="3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 CHANGES TO PROJECT PLAN</w:t>
      </w:r>
    </w:p>
    <w:p>
      <w:pPr>
        <w:spacing w:after="0" w:before="40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 changes to the project scope or risk register are required at this stage. The following updates reflect progress beyond the original schedule:</w:t>
      </w:r>
    </w:p>
    <w:p>
      <w:pPr>
        <w:spacing w:after="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 T5–T10 and T12 completed in Weeks 1–3</w:t>
      </w:r>
      <w:r>
        <w:rPr>
          <w:rFonts w:ascii="Arial" w:cs="Arial" w:eastAsia="Arial" w:hAnsi="Arial"/>
          <w:sz w:val="22"/>
          <w:szCs w:val="22"/>
        </w:rPr>
        <w:t xml:space="preserve">, compared to the planned Weeks 3–7. This was possible because the data cleaning step (T1) was completed efficiently in Week 1, unlocking all downstream analyses simultaneously.</w:t>
      </w:r>
    </w:p>
    <w:p>
      <w:pPr>
        <w:pStyle w:val="ListParagraph"/>
        <w:numPr>
          <w:ilvl w:val="0"/>
          <w:numId w:val="2"/>
        </w:numPr>
        <w:spacing w:after="20" w:before="20"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R3 (infeasibility)</w:t>
      </w:r>
      <w:r>
        <w:rPr>
          <w:rFonts w:ascii="Arial" w:cs="Arial" w:eastAsia="Arial" w:hAnsi="Arial"/>
          <w:sz w:val="22"/>
          <w:szCs w:val="22"/>
        </w:rPr>
        <w:t xml:space="preserve"> has been partially resolved by early analysis: both scenarios are feasible in the sense that displaced events can be rescheduled within the new window, though with some residual clashes. This validates the core project premise.</w:t>
      </w:r>
    </w:p>
    <w:p>
      <w:pPr>
        <w:pStyle w:val="ListParagraph"/>
        <w:numPr>
          <w:ilvl w:val="0"/>
          <w:numId w:val="2"/>
        </w:numPr>
        <w:spacing w:after="20" w:before="20"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R2 (computational complexity)</w:t>
      </w:r>
      <w:r>
        <w:rPr>
          <w:rFonts w:ascii="Arial" w:cs="Arial" w:eastAsia="Arial" w:hAnsi="Arial"/>
          <w:sz w:val="22"/>
          <w:szCs w:val="22"/>
        </w:rPr>
        <w:t xml:space="preserve"> was addressed by the chunk-based conflict-pair builder and the heuristic model, which processes 2,000 events in under two minutes on standard hardware.</w:t>
      </w:r>
    </w:p>
    <w:p>
      <w:pPr>
        <w:spacing w:after="0" w:before="40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sz w:val="22"/>
          <w:szCs w:val="22"/>
        </w:rPr>
        <w:t xml:space="preserve">The remaining schedule (Milestones M2: 14 March, M3: 28 March, M4: 10 April) remains as planned. The extra time gained will be used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strengthen the MIP solver runs and the sensitivity analysis (T11)</w:t>
      </w:r>
      <w:r>
        <w:rPr>
          <w:rFonts w:ascii="Arial" w:cs="Arial" w:eastAsia="Arial" w:hAnsi="Arial"/>
          <w:sz w:val="22"/>
          <w:szCs w:val="22"/>
        </w:rPr>
        <w:t xml:space="preserve">, and to produce a more comprehensive final report.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Feng, Wang Z., Yao, Wang Y. (s2775736, s2794231, s2792276, s2328864)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638"/>
      </w:tabs>
    </w:pPr>
    <w:r>
      <w:rPr>
        <w:rFonts w:ascii="Arial" w:cs="Arial" w:eastAsia="Arial" w:hAnsi="Arial"/>
        <w:color w:val="666666"/>
        <w:sz w:val="18"/>
        <w:szCs w:val="18"/>
      </w:rPr>
      <w:t xml:space="preserve">Assessment 02: Mid-Project Report  |  Group 17  |  University Teaching Time Optimisation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2026-02-25T15:07:12.690Z</dcterms:created>
  <dcterms:modified xsi:type="dcterms:W3CDTF">2026-02-25T15:07:12.690Z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