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color w:val="1F3B73"/>
          <w:sz w:val="26"/>
        </w:rPr>
        <w:t>Application of Basic Anatomy and Biomechanics: High-Level Systems Design of a Transtibial Prosthesis</w:t>
      </w:r>
    </w:p>
    <w:p>
      <w:pPr>
        <w:spacing w:after="200"/>
        <w:jc w:val="center"/>
      </w:pPr>
      <w:r>
        <w:rPr>
          <w:rFonts w:ascii="Arial" w:hAnsi="Arial"/>
          <w:sz w:val="19"/>
        </w:rPr>
        <w:t>585.617 Rehabilitation Engineering  |  Module 4 Assignment  |  [Your Name]  |  [Date]</w:t>
      </w:r>
    </w:p>
    <w:p>
      <w:pPr>
        <w:keepNext/>
        <w:spacing w:before="40" w:after="60"/>
        <w:pBdr>
          <w:bottom w:val="single" w:sz="6" w:space="1" w:color="999999"/>
        </w:pBdr>
      </w:pPr>
      <w:r>
        <w:rPr>
          <w:rFonts w:ascii="Arial" w:hAnsi="Arial"/>
          <w:b/>
          <w:color w:val="1F3B73"/>
          <w:sz w:val="23"/>
        </w:rPr>
        <w:t>1.  Case Framing and Design Assumptions</w:t>
      </w:r>
    </w:p>
    <w:p>
      <w:pPr>
        <w:spacing w:after="100"/>
        <w:jc w:val="both"/>
      </w:pPr>
      <w:r>
        <w:rPr>
          <w:rFonts w:ascii="Arial" w:hAnsi="Arial"/>
        </w:rPr>
        <w:t xml:space="preserve">The client sustained a bilateral </w:t>
      </w:r>
      <w:r>
        <w:rPr>
          <w:rFonts w:ascii="Arial" w:hAnsi="Arial"/>
          <w:b/>
        </w:rPr>
        <w:t>transtibial</w:t>
      </w:r>
      <w:r>
        <w:rPr>
          <w:rFonts w:ascii="Arial" w:hAnsi="Arial"/>
        </w:rPr>
        <w:t xml:space="preserve"> (below-knee) amputation following meningitis. The critical consequence for this design is that </w:t>
      </w:r>
      <w:r>
        <w:rPr>
          <w:rFonts w:ascii="Arial" w:hAnsi="Arial"/>
          <w:b/>
        </w:rPr>
        <w:t>both knees are anatomically intact</w:t>
      </w:r>
      <w:r>
        <w:rPr>
          <w:rFonts w:ascii="Arial" w:hAnsi="Arial"/>
        </w:rPr>
        <w:t xml:space="preserve">. The prosthesis therefore replaces the ankle-foot complex only, and the single most important design constraint is to restore ankle-foot function without compromising the natural knees that remain [1]. Because the client is bilaterally affected, every design penalty is paid twice: mass, cost, maintenance burden, and failure exposure all double, and there is no sound limb to serve as a kinematic reference or to compensate during a fault. The baseline device is scoped for </w:t>
      </w:r>
      <w:r>
        <w:rPr>
          <w:rFonts w:ascii="Arial" w:hAnsi="Arial"/>
          <w:b/>
        </w:rPr>
        <w:t>everyday level walking</w:t>
      </w:r>
      <w:r>
        <w:rPr>
          <w:rFonts w:ascii="Arial" w:hAnsi="Arial"/>
        </w:rPr>
        <w:t>; sport-specific requirements are addressed in Part B.</w:t>
      </w:r>
    </w:p>
    <w:p>
      <w:pPr>
        <w:spacing w:after="100"/>
        <w:jc w:val="both"/>
      </w:pPr>
      <w:r>
        <w:rPr>
          <w:rFonts w:ascii="Arial" w:hAnsi="Arial"/>
        </w:rPr>
        <w:t xml:space="preserve">Quantitative analysis requires an anthropometric basis. The following values are stated as </w:t>
      </w:r>
      <w:r>
        <w:rPr>
          <w:rFonts w:ascii="Arial" w:hAnsi="Arial"/>
          <w:b/>
        </w:rPr>
        <w:t>design assumptions</w:t>
      </w:r>
      <w:r>
        <w:rPr>
          <w:rFonts w:ascii="Arial" w:hAnsi="Arial"/>
        </w:rPr>
        <w:t xml:space="preserve"> rather than clinical data for this individual, and all results scale linearly with body weight.</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2951"/>
        <w:gridCol w:w="1655"/>
        <w:gridCol w:w="5184"/>
      </w:tblGrid>
      <w:tr>
        <w:trPr>
          <w:tblHeader w:val="true"/>
        </w:trPr>
        <w:tc>
          <w:tcPr>
            <w:tcW w:type="dxa" w:w="2952"/>
            <w:shd w:val="clear" w:fill="E8EAED"/>
          </w:tcPr>
          <w:p>
            <w:pPr>
              <w:spacing w:after="20"/>
            </w:pPr>
            <w:r/>
            <w:r>
              <w:rPr>
                <w:rFonts w:ascii="Arial" w:hAnsi="Arial"/>
                <w:b/>
                <w:sz w:val="16"/>
              </w:rPr>
              <w:t>Parameter</w:t>
            </w:r>
          </w:p>
        </w:tc>
        <w:tc>
          <w:tcPr>
            <w:tcW w:type="dxa" w:w="1656"/>
            <w:shd w:val="clear" w:fill="E8EAED"/>
          </w:tcPr>
          <w:p>
            <w:pPr>
              <w:spacing w:after="20"/>
            </w:pPr>
            <w:r/>
            <w:r>
              <w:rPr>
                <w:rFonts w:ascii="Arial" w:hAnsi="Arial"/>
                <w:b/>
                <w:sz w:val="16"/>
              </w:rPr>
              <w:t>Value</w:t>
            </w:r>
          </w:p>
        </w:tc>
        <w:tc>
          <w:tcPr>
            <w:tcW w:type="dxa" w:w="5184"/>
            <w:shd w:val="clear" w:fill="E8EAED"/>
          </w:tcPr>
          <w:p>
            <w:pPr>
              <w:spacing w:after="20"/>
            </w:pPr>
            <w:r/>
            <w:r>
              <w:rPr>
                <w:rFonts w:ascii="Arial" w:hAnsi="Arial"/>
                <w:b/>
                <w:sz w:val="16"/>
              </w:rPr>
              <w:t>Basis</w:t>
            </w:r>
          </w:p>
        </w:tc>
      </w:tr>
      <w:tr>
        <w:tc>
          <w:tcPr>
            <w:tcW w:type="dxa" w:w="2952"/>
          </w:tcPr>
          <w:p>
            <w:pPr>
              <w:spacing w:after="20"/>
            </w:pPr>
            <w:r/>
            <w:r>
              <w:rPr>
                <w:rFonts w:ascii="Arial" w:hAnsi="Arial"/>
                <w:sz w:val="16"/>
              </w:rPr>
              <w:t xml:space="preserve">Body mass, </w:t>
            </w:r>
            <w:r>
              <w:rPr>
                <w:rFonts w:ascii="Arial" w:hAnsi="Arial"/>
                <w:i/>
                <w:sz w:val="16"/>
              </w:rPr>
              <w:t>m</w:t>
            </w:r>
            <w:r>
              <w:rPr>
                <w:rFonts w:ascii="Arial" w:hAnsi="Arial"/>
                <w:sz w:val="16"/>
              </w:rPr>
              <w:t xml:space="preserve"> (incl. prostheses)</w:t>
            </w:r>
          </w:p>
        </w:tc>
        <w:tc>
          <w:tcPr>
            <w:tcW w:type="dxa" w:w="1656"/>
          </w:tcPr>
          <w:p>
            <w:pPr>
              <w:spacing w:after="20"/>
            </w:pPr>
            <w:r/>
            <w:r>
              <w:rPr>
                <w:rFonts w:ascii="Arial" w:hAnsi="Arial"/>
                <w:sz w:val="16"/>
              </w:rPr>
              <w:t>60 kg</w:t>
            </w:r>
          </w:p>
        </w:tc>
        <w:tc>
          <w:tcPr>
            <w:tcW w:type="dxa" w:w="5184"/>
          </w:tcPr>
          <w:p>
            <w:pPr>
              <w:spacing w:after="20"/>
            </w:pPr>
            <w:r/>
            <w:r>
              <w:rPr>
                <w:rFonts w:ascii="Arial" w:hAnsi="Arial"/>
                <w:sz w:val="16"/>
              </w:rPr>
              <w:t>Assumed; representative adult female athlete</w:t>
            </w:r>
          </w:p>
        </w:tc>
      </w:tr>
      <w:tr>
        <w:tc>
          <w:tcPr>
            <w:tcW w:type="dxa" w:w="2952"/>
          </w:tcPr>
          <w:p>
            <w:pPr>
              <w:spacing w:after="20"/>
            </w:pPr>
            <w:r/>
            <w:r>
              <w:rPr>
                <w:rFonts w:ascii="Arial" w:hAnsi="Arial"/>
                <w:sz w:val="16"/>
              </w:rPr>
              <w:t xml:space="preserve">Body weight, </w:t>
            </w:r>
            <w:r>
              <w:rPr>
                <w:rFonts w:ascii="Arial" w:hAnsi="Arial"/>
                <w:i/>
                <w:sz w:val="16"/>
              </w:rPr>
              <w:t>BW = mg</w:t>
            </w:r>
          </w:p>
        </w:tc>
        <w:tc>
          <w:tcPr>
            <w:tcW w:type="dxa" w:w="1656"/>
          </w:tcPr>
          <w:p>
            <w:pPr>
              <w:spacing w:after="20"/>
            </w:pPr>
            <w:r/>
            <w:r>
              <w:rPr>
                <w:rFonts w:ascii="Arial" w:hAnsi="Arial"/>
                <w:sz w:val="16"/>
              </w:rPr>
              <w:t>588.6 N</w:t>
            </w:r>
          </w:p>
        </w:tc>
        <w:tc>
          <w:tcPr>
            <w:tcW w:type="dxa" w:w="5184"/>
          </w:tcPr>
          <w:p>
            <w:pPr>
              <w:spacing w:after="20"/>
            </w:pPr>
            <w:r/>
            <w:r>
              <w:rPr>
                <w:rFonts w:ascii="Arial" w:hAnsi="Arial"/>
                <w:i/>
                <w:sz w:val="16"/>
              </w:rPr>
              <w:t>g</w:t>
            </w:r>
            <w:r>
              <w:rPr>
                <w:rFonts w:ascii="Arial" w:hAnsi="Arial"/>
                <w:sz w:val="16"/>
              </w:rPr>
              <w:t xml:space="preserve"> = 9.81 m/s²</w:t>
            </w:r>
          </w:p>
        </w:tc>
      </w:tr>
      <w:tr>
        <w:tc>
          <w:tcPr>
            <w:tcW w:type="dxa" w:w="2952"/>
          </w:tcPr>
          <w:p>
            <w:pPr>
              <w:spacing w:after="20"/>
            </w:pPr>
            <w:r/>
            <w:r>
              <w:rPr>
                <w:rFonts w:ascii="Arial" w:hAnsi="Arial"/>
                <w:sz w:val="16"/>
              </w:rPr>
              <w:t xml:space="preserve">Prosthetic foot length, </w:t>
            </w:r>
            <w:r>
              <w:rPr>
                <w:rFonts w:ascii="Arial" w:hAnsi="Arial"/>
                <w:i/>
                <w:sz w:val="16"/>
              </w:rPr>
              <w:t>L</w:t>
            </w:r>
          </w:p>
        </w:tc>
        <w:tc>
          <w:tcPr>
            <w:tcW w:type="dxa" w:w="1656"/>
          </w:tcPr>
          <w:p>
            <w:pPr>
              <w:spacing w:after="20"/>
            </w:pPr>
            <w:r/>
            <w:r>
              <w:rPr>
                <w:rFonts w:ascii="Arial" w:hAnsi="Arial"/>
                <w:sz w:val="16"/>
              </w:rPr>
              <w:t>0.24 m</w:t>
            </w:r>
          </w:p>
        </w:tc>
        <w:tc>
          <w:tcPr>
            <w:tcW w:type="dxa" w:w="5184"/>
          </w:tcPr>
          <w:p>
            <w:pPr>
              <w:spacing w:after="20"/>
            </w:pPr>
            <w:r/>
            <w:r>
              <w:rPr>
                <w:rFonts w:ascii="Arial" w:hAnsi="Arial"/>
                <w:sz w:val="16"/>
              </w:rPr>
              <w:t>≈ 0.152 × stature for 1.65 m height</w:t>
            </w:r>
          </w:p>
        </w:tc>
      </w:tr>
      <w:tr>
        <w:tc>
          <w:tcPr>
            <w:tcW w:type="dxa" w:w="2952"/>
          </w:tcPr>
          <w:p>
            <w:pPr>
              <w:spacing w:after="20"/>
            </w:pPr>
            <w:r/>
            <w:r>
              <w:rPr>
                <w:rFonts w:ascii="Arial" w:hAnsi="Arial"/>
                <w:sz w:val="16"/>
              </w:rPr>
              <w:t xml:space="preserve">Ankle joint height above ground, </w:t>
            </w:r>
            <w:r>
              <w:rPr>
                <w:rFonts w:ascii="Arial" w:hAnsi="Arial"/>
                <w:i/>
                <w:sz w:val="16"/>
              </w:rPr>
              <w:t>h</w:t>
            </w:r>
          </w:p>
        </w:tc>
        <w:tc>
          <w:tcPr>
            <w:tcW w:type="dxa" w:w="1656"/>
          </w:tcPr>
          <w:p>
            <w:pPr>
              <w:spacing w:after="20"/>
            </w:pPr>
            <w:r/>
            <w:r>
              <w:rPr>
                <w:rFonts w:ascii="Arial" w:hAnsi="Arial"/>
                <w:sz w:val="16"/>
              </w:rPr>
              <w:t>0.07 m</w:t>
            </w:r>
          </w:p>
        </w:tc>
        <w:tc>
          <w:tcPr>
            <w:tcW w:type="dxa" w:w="5184"/>
          </w:tcPr>
          <w:p>
            <w:pPr>
              <w:spacing w:after="20"/>
            </w:pPr>
            <w:r/>
            <w:r>
              <w:rPr>
                <w:rFonts w:ascii="Arial" w:hAnsi="Arial"/>
                <w:sz w:val="16"/>
              </w:rPr>
              <w:t>Standard transtibial build height</w:t>
            </w:r>
          </w:p>
        </w:tc>
      </w:tr>
      <w:tr>
        <w:tc>
          <w:tcPr>
            <w:tcW w:type="dxa" w:w="2952"/>
          </w:tcPr>
          <w:p>
            <w:pPr>
              <w:spacing w:after="20"/>
            </w:pPr>
            <w:r/>
            <w:r>
              <w:rPr>
                <w:rFonts w:ascii="Arial" w:hAnsi="Arial"/>
                <w:sz w:val="16"/>
              </w:rPr>
              <w:t xml:space="preserve">Ankle-to-forefoot COP distance, </w:t>
            </w:r>
            <w:r>
              <w:rPr>
                <w:rFonts w:ascii="Arial" w:hAnsi="Arial"/>
                <w:i/>
                <w:sz w:val="16"/>
              </w:rPr>
              <w:t>d</w:t>
            </w:r>
          </w:p>
        </w:tc>
        <w:tc>
          <w:tcPr>
            <w:tcW w:type="dxa" w:w="1656"/>
          </w:tcPr>
          <w:p>
            <w:pPr>
              <w:spacing w:after="20"/>
            </w:pPr>
            <w:r/>
            <w:r>
              <w:rPr>
                <w:rFonts w:ascii="Arial" w:hAnsi="Arial"/>
                <w:sz w:val="16"/>
              </w:rPr>
              <w:t>0.13 m</w:t>
            </w:r>
          </w:p>
        </w:tc>
        <w:tc>
          <w:tcPr>
            <w:tcW w:type="dxa" w:w="5184"/>
          </w:tcPr>
          <w:p>
            <w:pPr>
              <w:spacing w:after="20"/>
            </w:pPr>
            <w:r/>
            <w:r>
              <w:rPr>
                <w:rFonts w:ascii="Arial" w:hAnsi="Arial"/>
                <w:sz w:val="16"/>
              </w:rPr>
              <w:t>COP under metatarsal heads at terminal stance</w:t>
            </w:r>
          </w:p>
        </w:tc>
      </w:tr>
      <w:tr>
        <w:tc>
          <w:tcPr>
            <w:tcW w:type="dxa" w:w="2952"/>
          </w:tcPr>
          <w:p>
            <w:pPr>
              <w:spacing w:after="20"/>
            </w:pPr>
            <w:r/>
            <w:r>
              <w:rPr>
                <w:rFonts w:ascii="Arial" w:hAnsi="Arial"/>
                <w:sz w:val="16"/>
              </w:rPr>
              <w:t>Functional level</w:t>
            </w:r>
          </w:p>
        </w:tc>
        <w:tc>
          <w:tcPr>
            <w:tcW w:type="dxa" w:w="1656"/>
          </w:tcPr>
          <w:p>
            <w:pPr>
              <w:spacing w:after="20"/>
            </w:pPr>
            <w:r/>
            <w:r>
              <w:rPr>
                <w:rFonts w:ascii="Arial" w:hAnsi="Arial"/>
                <w:sz w:val="16"/>
              </w:rPr>
              <w:t>MFCL K3–K4</w:t>
            </w:r>
          </w:p>
        </w:tc>
        <w:tc>
          <w:tcPr>
            <w:tcW w:type="dxa" w:w="5184"/>
          </w:tcPr>
          <w:p>
            <w:pPr>
              <w:spacing w:after="20"/>
            </w:pPr>
            <w:r/>
            <w:r>
              <w:rPr>
                <w:rFonts w:ascii="Arial" w:hAnsi="Arial"/>
                <w:sz w:val="16"/>
              </w:rPr>
              <w:t>High-activity community ambulator</w:t>
            </w:r>
          </w:p>
        </w:tc>
      </w:tr>
      <w:tr>
        <w:tc>
          <w:tcPr>
            <w:tcW w:type="dxa" w:w="2952"/>
          </w:tcPr>
          <w:p>
            <w:pPr>
              <w:spacing w:after="20"/>
            </w:pPr>
            <w:r/>
            <w:r>
              <w:rPr>
                <w:rFonts w:ascii="Arial" w:hAnsi="Arial"/>
                <w:sz w:val="16"/>
              </w:rPr>
              <w:t>Duty cycle</w:t>
            </w:r>
          </w:p>
        </w:tc>
        <w:tc>
          <w:tcPr>
            <w:tcW w:type="dxa" w:w="1656"/>
          </w:tcPr>
          <w:p>
            <w:pPr>
              <w:spacing w:after="20"/>
            </w:pPr>
            <w:r/>
            <w:r>
              <w:rPr>
                <w:rFonts w:ascii="Arial" w:hAnsi="Arial"/>
                <w:sz w:val="16"/>
              </w:rPr>
              <w:t>≈ 5,000 steps/day</w:t>
            </w:r>
          </w:p>
        </w:tc>
        <w:tc>
          <w:tcPr>
            <w:tcW w:type="dxa" w:w="5184"/>
          </w:tcPr>
          <w:p>
            <w:pPr>
              <w:spacing w:after="20"/>
            </w:pPr>
            <w:r/>
            <w:r>
              <w:rPr>
                <w:rFonts w:ascii="Arial" w:hAnsi="Arial"/>
                <w:sz w:val="16"/>
              </w:rPr>
              <w:t>Typical active user; drives fatigue sizing [3]</w:t>
            </w:r>
          </w:p>
        </w:tc>
      </w:tr>
    </w:tbl>
    <w:p>
      <w:pPr>
        <w:keepNext/>
        <w:spacing w:before="200" w:after="60"/>
      </w:pPr>
      <w:r>
        <w:rPr>
          <w:rFonts w:ascii="Arial" w:hAnsi="Arial"/>
          <w:b/>
          <w:color w:val="1F3B73"/>
          <w:sz w:val="23"/>
        </w:rPr>
        <w:t>2.  Part A — Technical Approach for Everyday Walking</w:t>
      </w:r>
    </w:p>
    <w:p>
      <w:pPr>
        <w:keepNext/>
        <w:spacing w:before="140" w:after="60"/>
      </w:pPr>
      <w:r>
        <w:rPr>
          <w:rFonts w:ascii="Arial" w:hAnsi="Arial"/>
          <w:b/>
          <w:color w:val="1F3B73"/>
          <w:sz w:val="21"/>
        </w:rPr>
        <w:t>2.1  Joints Spanned and Replication Decisions</w:t>
      </w:r>
    </w:p>
    <w:p>
      <w:pPr>
        <w:spacing w:after="100"/>
        <w:jc w:val="both"/>
      </w:pPr>
      <w:r>
        <w:rPr>
          <w:rFonts w:ascii="Arial" w:hAnsi="Arial"/>
        </w:rPr>
        <w:t xml:space="preserve">The prosthesis physically spans the knee — the socket brim and suspension extend proximal to the joint line — but it must not </w:t>
      </w:r>
      <w:r>
        <w:rPr>
          <w:rFonts w:ascii="Arial" w:hAnsi="Arial"/>
          <w:i/>
        </w:rPr>
        <w:t>replicate</w:t>
      </w:r>
      <w:r>
        <w:rPr>
          <w:rFonts w:ascii="Arial" w:hAnsi="Arial"/>
        </w:rPr>
        <w:t xml:space="preserve"> it. The decision for each joint is summarised below.</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1112"/>
        <w:gridCol w:w="1646"/>
        <w:gridCol w:w="1090"/>
        <w:gridCol w:w="5941"/>
      </w:tblGrid>
      <w:tr>
        <w:trPr>
          <w:tblHeader w:val="true"/>
        </w:trPr>
        <w:tc>
          <w:tcPr>
            <w:tcW w:type="dxa" w:w="1113"/>
            <w:shd w:val="clear" w:fill="E8EAED"/>
          </w:tcPr>
          <w:p>
            <w:pPr>
              <w:spacing w:after="20"/>
            </w:pPr>
            <w:r/>
            <w:r>
              <w:rPr>
                <w:rFonts w:ascii="Arial" w:hAnsi="Arial"/>
                <w:b/>
                <w:sz w:val="16"/>
              </w:rPr>
              <w:t>Joint</w:t>
            </w:r>
          </w:p>
        </w:tc>
        <w:tc>
          <w:tcPr>
            <w:tcW w:type="dxa" w:w="1647"/>
            <w:shd w:val="clear" w:fill="E8EAED"/>
          </w:tcPr>
          <w:p>
            <w:pPr>
              <w:spacing w:after="20"/>
            </w:pPr>
            <w:r/>
            <w:r>
              <w:rPr>
                <w:rFonts w:ascii="Arial" w:hAnsi="Arial"/>
                <w:b/>
                <w:sz w:val="16"/>
              </w:rPr>
              <w:t>Anatomical role</w:t>
            </w:r>
          </w:p>
        </w:tc>
        <w:tc>
          <w:tcPr>
            <w:tcW w:type="dxa" w:w="1090"/>
            <w:shd w:val="clear" w:fill="E8EAED"/>
          </w:tcPr>
          <w:p>
            <w:pPr>
              <w:spacing w:after="20"/>
            </w:pPr>
            <w:r/>
            <w:r>
              <w:rPr>
                <w:rFonts w:ascii="Arial" w:hAnsi="Arial"/>
                <w:b/>
                <w:sz w:val="16"/>
              </w:rPr>
              <w:t>Replicate?</w:t>
            </w:r>
          </w:p>
        </w:tc>
        <w:tc>
          <w:tcPr>
            <w:tcW w:type="dxa" w:w="5942"/>
            <w:shd w:val="clear" w:fill="E8EAED"/>
          </w:tcPr>
          <w:p>
            <w:pPr>
              <w:spacing w:after="20"/>
            </w:pPr>
            <w:r/>
            <w:r>
              <w:rPr>
                <w:rFonts w:ascii="Arial" w:hAnsi="Arial"/>
                <w:b/>
                <w:sz w:val="16"/>
              </w:rPr>
              <w:t>Rationale</w:t>
            </w:r>
          </w:p>
        </w:tc>
      </w:tr>
      <w:tr>
        <w:tc>
          <w:tcPr>
            <w:tcW w:type="dxa" w:w="1113"/>
          </w:tcPr>
          <w:p>
            <w:pPr>
              <w:spacing w:after="20"/>
            </w:pPr>
            <w:r/>
            <w:r>
              <w:rPr>
                <w:rFonts w:ascii="Arial" w:hAnsi="Arial"/>
                <w:sz w:val="16"/>
              </w:rPr>
              <w:t>Tibiofemoral (knee)</w:t>
            </w:r>
          </w:p>
        </w:tc>
        <w:tc>
          <w:tcPr>
            <w:tcW w:type="dxa" w:w="1647"/>
          </w:tcPr>
          <w:p>
            <w:pPr>
              <w:spacing w:after="20"/>
            </w:pPr>
            <w:r/>
            <w:r>
              <w:rPr>
                <w:rFonts w:ascii="Arial" w:hAnsi="Arial"/>
                <w:sz w:val="16"/>
              </w:rPr>
              <w:t>Sagittal flexion/extension; primary shock absorption and limb shortening in swing</w:t>
            </w:r>
          </w:p>
        </w:tc>
        <w:tc>
          <w:tcPr>
            <w:tcW w:type="dxa" w:w="1090"/>
          </w:tcPr>
          <w:p>
            <w:pPr>
              <w:spacing w:after="20"/>
            </w:pPr>
            <w:r/>
            <w:r>
              <w:rPr>
                <w:rFonts w:ascii="Arial" w:hAnsi="Arial"/>
                <w:b/>
                <w:sz w:val="16"/>
              </w:rPr>
              <w:t>No</w:t>
            </w:r>
          </w:p>
        </w:tc>
        <w:tc>
          <w:tcPr>
            <w:tcW w:type="dxa" w:w="5942"/>
          </w:tcPr>
          <w:p>
            <w:pPr>
              <w:spacing w:after="20"/>
            </w:pPr>
            <w:r/>
            <w:r>
              <w:rPr>
                <w:rFonts w:ascii="Arial" w:hAnsi="Arial"/>
                <w:sz w:val="16"/>
              </w:rPr>
              <w:t>Intact. A retained biological knee preserves proprioception and gait economy no prosthetic knee can match. The socket trim line is the design issue: it must clear the hamstring tendons and permit ≥ 120° flexion for sitting and stairs.</w:t>
            </w:r>
          </w:p>
        </w:tc>
      </w:tr>
      <w:tr>
        <w:tc>
          <w:tcPr>
            <w:tcW w:type="dxa" w:w="1113"/>
          </w:tcPr>
          <w:p>
            <w:pPr>
              <w:spacing w:after="20"/>
            </w:pPr>
            <w:r/>
            <w:r>
              <w:rPr>
                <w:rFonts w:ascii="Arial" w:hAnsi="Arial"/>
                <w:sz w:val="16"/>
              </w:rPr>
              <w:t>Talocrural (ankle)</w:t>
            </w:r>
          </w:p>
        </w:tc>
        <w:tc>
          <w:tcPr>
            <w:tcW w:type="dxa" w:w="1647"/>
          </w:tcPr>
          <w:p>
            <w:pPr>
              <w:spacing w:after="20"/>
            </w:pPr>
            <w:r/>
            <w:r>
              <w:rPr>
                <w:rFonts w:ascii="Arial" w:hAnsi="Arial"/>
                <w:sz w:val="16"/>
              </w:rPr>
              <w:t>Dorsiflexion / plantarflexion; the dominant sagittal power source at push-off</w:t>
            </w:r>
          </w:p>
        </w:tc>
        <w:tc>
          <w:tcPr>
            <w:tcW w:type="dxa" w:w="1090"/>
          </w:tcPr>
          <w:p>
            <w:pPr>
              <w:spacing w:after="20"/>
            </w:pPr>
            <w:r/>
            <w:r>
              <w:rPr>
                <w:rFonts w:ascii="Arial" w:hAnsi="Arial"/>
                <w:b/>
                <w:sz w:val="16"/>
              </w:rPr>
              <w:t>Yes</w:t>
            </w:r>
          </w:p>
        </w:tc>
        <w:tc>
          <w:tcPr>
            <w:tcW w:type="dxa" w:w="5942"/>
          </w:tcPr>
          <w:p>
            <w:pPr>
              <w:spacing w:after="20"/>
            </w:pPr>
            <w:r/>
            <w:r>
              <w:rPr>
                <w:rFonts w:ascii="Arial" w:hAnsi="Arial"/>
                <w:sz w:val="16"/>
              </w:rPr>
              <w:t>Non-negotiable. Absent controlled plantarflexion at loading response and dorsiflexion through midstance, the user vaults over a rigid lever, producing the classic gait deviations and elevated socket pressures the module identifies [2], [5].</w:t>
            </w:r>
          </w:p>
        </w:tc>
      </w:tr>
      <w:tr>
        <w:tc>
          <w:tcPr>
            <w:tcW w:type="dxa" w:w="1113"/>
          </w:tcPr>
          <w:p>
            <w:pPr>
              <w:spacing w:after="20"/>
            </w:pPr>
            <w:r/>
            <w:r>
              <w:rPr>
                <w:rFonts w:ascii="Arial" w:hAnsi="Arial"/>
                <w:sz w:val="16"/>
              </w:rPr>
              <w:t>Subtalar</w:t>
            </w:r>
          </w:p>
        </w:tc>
        <w:tc>
          <w:tcPr>
            <w:tcW w:type="dxa" w:w="1647"/>
          </w:tcPr>
          <w:p>
            <w:pPr>
              <w:spacing w:after="20"/>
            </w:pPr>
            <w:r/>
            <w:r>
              <w:rPr>
                <w:rFonts w:ascii="Arial" w:hAnsi="Arial"/>
                <w:sz w:val="16"/>
              </w:rPr>
              <w:t>Inversion / eversion; accommodates coronal-plane terrain variation</w:t>
            </w:r>
          </w:p>
        </w:tc>
        <w:tc>
          <w:tcPr>
            <w:tcW w:type="dxa" w:w="1090"/>
          </w:tcPr>
          <w:p>
            <w:pPr>
              <w:spacing w:after="20"/>
            </w:pPr>
            <w:r/>
            <w:r>
              <w:rPr>
                <w:rFonts w:ascii="Arial" w:hAnsi="Arial"/>
                <w:b/>
                <w:sz w:val="16"/>
              </w:rPr>
              <w:t>Partially</w:t>
            </w:r>
          </w:p>
        </w:tc>
        <w:tc>
          <w:tcPr>
            <w:tcW w:type="dxa" w:w="5942"/>
          </w:tcPr>
          <w:p>
            <w:pPr>
              <w:spacing w:after="20"/>
            </w:pPr>
            <w:r/>
            <w:r>
              <w:rPr>
                <w:rFonts w:ascii="Arial" w:hAnsi="Arial"/>
                <w:sz w:val="16"/>
              </w:rPr>
              <w:t xml:space="preserve">Provide </w:t>
            </w:r>
            <w:r>
              <w:rPr>
                <w:rFonts w:ascii="Arial" w:hAnsi="Arial"/>
                <w:i/>
                <w:sz w:val="16"/>
              </w:rPr>
              <w:t>compliance</w:t>
            </w:r>
            <w:r>
              <w:rPr>
                <w:rFonts w:ascii="Arial" w:hAnsi="Arial"/>
                <w:sz w:val="16"/>
              </w:rPr>
              <w:t>, not a controlled degree of freedom. An elastomeric bushing gives ±6° of passive give at negligible mass and cost. A fully articulated subtalar joint adds mass, wear surfaces and alignment complexity for benefit confined to uneven ground.</w:t>
            </w:r>
          </w:p>
        </w:tc>
      </w:tr>
      <w:tr>
        <w:tc>
          <w:tcPr>
            <w:tcW w:type="dxa" w:w="1113"/>
          </w:tcPr>
          <w:p>
            <w:pPr>
              <w:spacing w:after="20"/>
            </w:pPr>
            <w:r/>
            <w:r>
              <w:rPr>
                <w:rFonts w:ascii="Arial" w:hAnsi="Arial"/>
                <w:sz w:val="16"/>
              </w:rPr>
              <w:t>Transverse tarsal (Chopart)</w:t>
            </w:r>
          </w:p>
        </w:tc>
        <w:tc>
          <w:tcPr>
            <w:tcW w:type="dxa" w:w="1647"/>
          </w:tcPr>
          <w:p>
            <w:pPr>
              <w:spacing w:after="20"/>
            </w:pPr>
            <w:r/>
            <w:r>
              <w:rPr>
                <w:rFonts w:ascii="Arial" w:hAnsi="Arial"/>
                <w:sz w:val="16"/>
              </w:rPr>
              <w:t>Couples forefoot and rearfoot; midfoot stiffening for push-off</w:t>
            </w:r>
          </w:p>
        </w:tc>
        <w:tc>
          <w:tcPr>
            <w:tcW w:type="dxa" w:w="1090"/>
          </w:tcPr>
          <w:p>
            <w:pPr>
              <w:spacing w:after="20"/>
            </w:pPr>
            <w:r/>
            <w:r>
              <w:rPr>
                <w:rFonts w:ascii="Arial" w:hAnsi="Arial"/>
                <w:b/>
                <w:sz w:val="16"/>
              </w:rPr>
              <w:t>No (as a joint)</w:t>
            </w:r>
          </w:p>
        </w:tc>
        <w:tc>
          <w:tcPr>
            <w:tcW w:type="dxa" w:w="5942"/>
          </w:tcPr>
          <w:p>
            <w:pPr>
              <w:spacing w:after="20"/>
            </w:pPr>
            <w:r/>
            <w:r>
              <w:rPr>
                <w:rFonts w:ascii="Arial" w:hAnsi="Arial"/>
                <w:sz w:val="16"/>
              </w:rPr>
              <w:t>Function is reproduced by the graded bending stiffness of a one-piece carbon keel. Discretising it would add joints without adding function.</w:t>
            </w:r>
          </w:p>
        </w:tc>
      </w:tr>
      <w:tr>
        <w:tc>
          <w:tcPr>
            <w:tcW w:type="dxa" w:w="1113"/>
          </w:tcPr>
          <w:p>
            <w:pPr>
              <w:spacing w:after="20"/>
            </w:pPr>
            <w:r/>
            <w:r>
              <w:rPr>
                <w:rFonts w:ascii="Arial" w:hAnsi="Arial"/>
                <w:sz w:val="16"/>
              </w:rPr>
              <w:t>Metatarsophalangeal</w:t>
            </w:r>
          </w:p>
        </w:tc>
        <w:tc>
          <w:tcPr>
            <w:tcW w:type="dxa" w:w="1647"/>
          </w:tcPr>
          <w:p>
            <w:pPr>
              <w:spacing w:after="20"/>
            </w:pPr>
            <w:r/>
            <w:r>
              <w:rPr>
                <w:rFonts w:ascii="Arial" w:hAnsi="Arial"/>
                <w:sz w:val="16"/>
              </w:rPr>
              <w:t>Toe break; forefoot rocker at terminal stance</w:t>
            </w:r>
          </w:p>
        </w:tc>
        <w:tc>
          <w:tcPr>
            <w:tcW w:type="dxa" w:w="1090"/>
          </w:tcPr>
          <w:p>
            <w:pPr>
              <w:spacing w:after="20"/>
            </w:pPr>
            <w:r/>
            <w:r>
              <w:rPr>
                <w:rFonts w:ascii="Arial" w:hAnsi="Arial"/>
                <w:b/>
                <w:sz w:val="16"/>
              </w:rPr>
              <w:t>Yes (passively)</w:t>
            </w:r>
          </w:p>
        </w:tc>
        <w:tc>
          <w:tcPr>
            <w:tcW w:type="dxa" w:w="5942"/>
          </w:tcPr>
          <w:p>
            <w:pPr>
              <w:spacing w:after="20"/>
            </w:pPr>
            <w:r/>
            <w:r>
              <w:rPr>
                <w:rFonts w:ascii="Arial" w:hAnsi="Arial"/>
                <w:sz w:val="16"/>
              </w:rPr>
              <w:t>Replicated by a split-toe keel geometry whose bending compliance reproduces the rocker. A hinged toe would be a wear item in the dirtiest, most highly loaded location on the device.</w:t>
            </w:r>
          </w:p>
        </w:tc>
      </w:tr>
      <w:tr>
        <w:tc>
          <w:tcPr>
            <w:tcW w:type="dxa" w:w="1113"/>
          </w:tcPr>
          <w:p>
            <w:pPr>
              <w:spacing w:after="20"/>
            </w:pPr>
            <w:r/>
            <w:r>
              <w:rPr>
                <w:rFonts w:ascii="Arial" w:hAnsi="Arial"/>
                <w:sz w:val="16"/>
              </w:rPr>
              <w:t>Shank transverse rotation</w:t>
            </w:r>
          </w:p>
        </w:tc>
        <w:tc>
          <w:tcPr>
            <w:tcW w:type="dxa" w:w="1647"/>
          </w:tcPr>
          <w:p>
            <w:pPr>
              <w:spacing w:after="20"/>
            </w:pPr>
            <w:r/>
            <w:r>
              <w:rPr>
                <w:rFonts w:ascii="Arial" w:hAnsi="Arial"/>
                <w:sz w:val="16"/>
              </w:rPr>
              <w:t>±8–10° internal/external rotation during gait</w:t>
            </w:r>
          </w:p>
        </w:tc>
        <w:tc>
          <w:tcPr>
            <w:tcW w:type="dxa" w:w="1090"/>
          </w:tcPr>
          <w:p>
            <w:pPr>
              <w:spacing w:after="20"/>
            </w:pPr>
            <w:r/>
            <w:r>
              <w:rPr>
                <w:rFonts w:ascii="Arial" w:hAnsi="Arial"/>
                <w:b/>
                <w:sz w:val="16"/>
              </w:rPr>
              <w:t>Optional</w:t>
            </w:r>
          </w:p>
        </w:tc>
        <w:tc>
          <w:tcPr>
            <w:tcW w:type="dxa" w:w="5942"/>
          </w:tcPr>
          <w:p>
            <w:pPr>
              <w:spacing w:after="20"/>
            </w:pPr>
            <w:r/>
            <w:r>
              <w:rPr>
                <w:rFonts w:ascii="Arial" w:hAnsi="Arial"/>
                <w:sz w:val="16"/>
              </w:rPr>
              <w:t>Omitted from the walking baseline. Torsional accommodation matters for turning and for court and board sports; a torsion adapter is a modular addition (Part B) rather than a baseline cost.</w:t>
            </w:r>
          </w:p>
        </w:tc>
      </w:tr>
    </w:tbl>
    <w:p>
      <w:pPr>
        <w:keepNext/>
        <w:spacing w:before="160" w:after="60"/>
      </w:pPr>
      <w:r>
        <w:rPr>
          <w:rFonts w:ascii="Arial" w:hAnsi="Arial"/>
          <w:b/>
          <w:color w:val="1F3B73"/>
          <w:sz w:val="21"/>
        </w:rPr>
        <w:t>2.2  Range of Motion: Anatomical Envelope versus Gait Demand</w:t>
      </w:r>
    </w:p>
    <w:p>
      <w:pPr>
        <w:spacing w:after="100"/>
        <w:jc w:val="both"/>
      </w:pPr>
      <w:r>
        <w:rPr>
          <w:rFonts w:ascii="Arial" w:hAnsi="Arial"/>
        </w:rPr>
        <w:t xml:space="preserve">The governing design principle is that </w:t>
      </w:r>
      <w:r>
        <w:rPr>
          <w:rFonts w:ascii="Arial" w:hAnsi="Arial"/>
          <w:b/>
        </w:rPr>
        <w:t>a prosthesis should reproduce the range of motion that walking actually uses, not the full anatomical envelope</w:t>
      </w:r>
      <w:r>
        <w:rPr>
          <w:rFonts w:ascii="Arial" w:hAnsi="Arial"/>
        </w:rPr>
        <w:t>. The two differ by roughly a factor of two at the ankle, and every degree of unused range costs build height, mass and a potential instability mode.</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1945"/>
        <w:gridCol w:w="1380"/>
        <w:gridCol w:w="1945"/>
        <w:gridCol w:w="1694"/>
        <w:gridCol w:w="2824"/>
      </w:tblGrid>
      <w:tr>
        <w:trPr>
          <w:tblHeader w:val="true"/>
        </w:trPr>
        <w:tc>
          <w:tcPr>
            <w:tcW w:type="dxa" w:w="1946"/>
            <w:shd w:val="clear" w:fill="E8EAED"/>
          </w:tcPr>
          <w:p>
            <w:pPr>
              <w:spacing w:after="20"/>
            </w:pPr>
            <w:r/>
            <w:r>
              <w:rPr>
                <w:rFonts w:ascii="Arial" w:hAnsi="Arial"/>
                <w:b/>
                <w:sz w:val="16"/>
              </w:rPr>
              <w:t>Joint / motion</w:t>
            </w:r>
          </w:p>
        </w:tc>
        <w:tc>
          <w:tcPr>
            <w:tcW w:type="dxa" w:w="1381"/>
            <w:shd w:val="clear" w:fill="E8EAED"/>
          </w:tcPr>
          <w:p>
            <w:pPr>
              <w:spacing w:after="20"/>
            </w:pPr>
            <w:r/>
            <w:r>
              <w:rPr>
                <w:rFonts w:ascii="Arial" w:hAnsi="Arial"/>
                <w:b/>
                <w:sz w:val="16"/>
              </w:rPr>
              <w:t>Anatomical ROM</w:t>
            </w:r>
          </w:p>
        </w:tc>
        <w:tc>
          <w:tcPr>
            <w:tcW w:type="dxa" w:w="1946"/>
            <w:shd w:val="clear" w:fill="E8EAED"/>
          </w:tcPr>
          <w:p>
            <w:pPr>
              <w:spacing w:after="20"/>
            </w:pPr>
            <w:r/>
            <w:r>
              <w:rPr>
                <w:rFonts w:ascii="Arial" w:hAnsi="Arial"/>
                <w:b/>
                <w:sz w:val="16"/>
              </w:rPr>
              <w:t>ROM used in level walking</w:t>
            </w:r>
          </w:p>
        </w:tc>
        <w:tc>
          <w:tcPr>
            <w:tcW w:type="dxa" w:w="1695"/>
            <w:shd w:val="clear" w:fill="E8EAED"/>
          </w:tcPr>
          <w:p>
            <w:pPr>
              <w:spacing w:after="20"/>
            </w:pPr>
            <w:r/>
            <w:r>
              <w:rPr>
                <w:rFonts w:ascii="Arial" w:hAnsi="Arial"/>
                <w:b/>
                <w:sz w:val="16"/>
              </w:rPr>
              <w:t>Design target</w:t>
            </w:r>
          </w:p>
        </w:tc>
        <w:tc>
          <w:tcPr>
            <w:tcW w:type="dxa" w:w="2825"/>
            <w:shd w:val="clear" w:fill="E8EAED"/>
          </w:tcPr>
          <w:p>
            <w:pPr>
              <w:spacing w:after="20"/>
            </w:pPr>
            <w:r/>
            <w:r>
              <w:rPr>
                <w:rFonts w:ascii="Arial" w:hAnsi="Arial"/>
                <w:b/>
                <w:sz w:val="16"/>
              </w:rPr>
              <w:t>Decision</w:t>
            </w:r>
          </w:p>
        </w:tc>
      </w:tr>
      <w:tr>
        <w:tc>
          <w:tcPr>
            <w:tcW w:type="dxa" w:w="1946"/>
          </w:tcPr>
          <w:p>
            <w:pPr>
              <w:spacing w:after="20"/>
            </w:pPr>
            <w:r/>
            <w:r>
              <w:rPr>
                <w:rFonts w:ascii="Arial" w:hAnsi="Arial"/>
                <w:sz w:val="16"/>
              </w:rPr>
              <w:t>Talocrural dorsiflexion</w:t>
            </w:r>
          </w:p>
        </w:tc>
        <w:tc>
          <w:tcPr>
            <w:tcW w:type="dxa" w:w="1381"/>
          </w:tcPr>
          <w:p>
            <w:pPr>
              <w:spacing w:after="20"/>
            </w:pPr>
            <w:r/>
            <w:r>
              <w:rPr>
                <w:rFonts w:ascii="Arial" w:hAnsi="Arial"/>
                <w:sz w:val="16"/>
              </w:rPr>
              <w:t>0–20°</w:t>
            </w:r>
          </w:p>
        </w:tc>
        <w:tc>
          <w:tcPr>
            <w:tcW w:type="dxa" w:w="1946"/>
          </w:tcPr>
          <w:p>
            <w:pPr>
              <w:spacing w:after="20"/>
            </w:pPr>
            <w:r/>
            <w:r>
              <w:rPr>
                <w:rFonts w:ascii="Arial" w:hAnsi="Arial"/>
                <w:sz w:val="16"/>
              </w:rPr>
              <w:t>≈ 10°</w:t>
            </w:r>
          </w:p>
        </w:tc>
        <w:tc>
          <w:tcPr>
            <w:tcW w:type="dxa" w:w="1695"/>
          </w:tcPr>
          <w:p>
            <w:pPr>
              <w:spacing w:after="20"/>
            </w:pPr>
            <w:r/>
            <w:r>
              <w:rPr>
                <w:rFonts w:ascii="Arial" w:hAnsi="Arial"/>
                <w:sz w:val="16"/>
              </w:rPr>
              <w:t>15°</w:t>
            </w:r>
          </w:p>
        </w:tc>
        <w:tc>
          <w:tcPr>
            <w:tcW w:type="dxa" w:w="2825"/>
          </w:tcPr>
          <w:p>
            <w:pPr>
              <w:spacing w:after="20"/>
            </w:pPr>
            <w:r/>
            <w:r>
              <w:rPr>
                <w:rFonts w:ascii="Arial" w:hAnsi="Arial"/>
                <w:sz w:val="16"/>
              </w:rPr>
              <w:t>Replicate with margin for ramps</w:t>
            </w:r>
          </w:p>
        </w:tc>
      </w:tr>
      <w:tr>
        <w:tc>
          <w:tcPr>
            <w:tcW w:type="dxa" w:w="1946"/>
          </w:tcPr>
          <w:p>
            <w:pPr>
              <w:spacing w:after="20"/>
            </w:pPr>
            <w:r/>
            <w:r>
              <w:rPr>
                <w:rFonts w:ascii="Arial" w:hAnsi="Arial"/>
                <w:sz w:val="16"/>
              </w:rPr>
              <w:t>Talocrural plantarflexion</w:t>
            </w:r>
          </w:p>
        </w:tc>
        <w:tc>
          <w:tcPr>
            <w:tcW w:type="dxa" w:w="1381"/>
          </w:tcPr>
          <w:p>
            <w:pPr>
              <w:spacing w:after="20"/>
            </w:pPr>
            <w:r/>
            <w:r>
              <w:rPr>
                <w:rFonts w:ascii="Arial" w:hAnsi="Arial"/>
                <w:sz w:val="16"/>
              </w:rPr>
              <w:t>0–50°</w:t>
            </w:r>
          </w:p>
        </w:tc>
        <w:tc>
          <w:tcPr>
            <w:tcW w:type="dxa" w:w="1946"/>
          </w:tcPr>
          <w:p>
            <w:pPr>
              <w:spacing w:after="20"/>
            </w:pPr>
            <w:r/>
            <w:r>
              <w:rPr>
                <w:rFonts w:ascii="Arial" w:hAnsi="Arial"/>
                <w:sz w:val="16"/>
              </w:rPr>
              <w:t>≈ 20°</w:t>
            </w:r>
          </w:p>
        </w:tc>
        <w:tc>
          <w:tcPr>
            <w:tcW w:type="dxa" w:w="1695"/>
          </w:tcPr>
          <w:p>
            <w:pPr>
              <w:spacing w:after="20"/>
            </w:pPr>
            <w:r/>
            <w:r>
              <w:rPr>
                <w:rFonts w:ascii="Arial" w:hAnsi="Arial"/>
                <w:sz w:val="16"/>
              </w:rPr>
              <w:t>20°</w:t>
            </w:r>
          </w:p>
        </w:tc>
        <w:tc>
          <w:tcPr>
            <w:tcW w:type="dxa" w:w="2825"/>
          </w:tcPr>
          <w:p>
            <w:pPr>
              <w:spacing w:after="20"/>
            </w:pPr>
            <w:r/>
            <w:r>
              <w:rPr>
                <w:rFonts w:ascii="Arial" w:hAnsi="Arial"/>
                <w:sz w:val="16"/>
              </w:rPr>
              <w:t>Replicate; damped, not free</w:t>
            </w:r>
          </w:p>
        </w:tc>
      </w:tr>
      <w:tr>
        <w:tc>
          <w:tcPr>
            <w:tcW w:type="dxa" w:w="1946"/>
          </w:tcPr>
          <w:p>
            <w:pPr>
              <w:spacing w:after="20"/>
            </w:pPr>
            <w:r/>
            <w:r>
              <w:rPr>
                <w:rFonts w:ascii="Arial" w:hAnsi="Arial"/>
                <w:sz w:val="16"/>
              </w:rPr>
              <w:t>Subtalar inversion</w:t>
            </w:r>
          </w:p>
        </w:tc>
        <w:tc>
          <w:tcPr>
            <w:tcW w:type="dxa" w:w="1381"/>
          </w:tcPr>
          <w:p>
            <w:pPr>
              <w:spacing w:after="20"/>
            </w:pPr>
            <w:r/>
            <w:r>
              <w:rPr>
                <w:rFonts w:ascii="Arial" w:hAnsi="Arial"/>
                <w:sz w:val="16"/>
              </w:rPr>
              <w:t>0–35°</w:t>
            </w:r>
          </w:p>
        </w:tc>
        <w:tc>
          <w:tcPr>
            <w:tcW w:type="dxa" w:w="1946"/>
          </w:tcPr>
          <w:p>
            <w:pPr>
              <w:spacing w:after="20"/>
            </w:pPr>
            <w:r/>
            <w:r>
              <w:rPr>
                <w:rFonts w:ascii="Arial" w:hAnsi="Arial"/>
                <w:sz w:val="16"/>
              </w:rPr>
              <w:t>≈ 4°</w:t>
            </w:r>
          </w:p>
        </w:tc>
        <w:tc>
          <w:tcPr>
            <w:tcW w:type="dxa" w:w="1695"/>
          </w:tcPr>
          <w:p>
            <w:pPr>
              <w:spacing w:after="20"/>
            </w:pPr>
            <w:r/>
            <w:r>
              <w:rPr>
                <w:rFonts w:ascii="Arial" w:hAnsi="Arial"/>
                <w:sz w:val="16"/>
              </w:rPr>
              <w:t>±6° combined</w:t>
            </w:r>
          </w:p>
        </w:tc>
        <w:tc>
          <w:tcPr>
            <w:tcW w:type="dxa" w:w="2825"/>
          </w:tcPr>
          <w:p>
            <w:pPr>
              <w:spacing w:after="20"/>
            </w:pPr>
            <w:r/>
            <w:r>
              <w:rPr>
                <w:rFonts w:ascii="Arial" w:hAnsi="Arial"/>
                <w:sz w:val="16"/>
              </w:rPr>
              <w:t>Compliance only</w:t>
            </w:r>
          </w:p>
        </w:tc>
      </w:tr>
      <w:tr>
        <w:tc>
          <w:tcPr>
            <w:tcW w:type="dxa" w:w="1946"/>
          </w:tcPr>
          <w:p>
            <w:pPr>
              <w:spacing w:after="20"/>
            </w:pPr>
            <w:r/>
            <w:r>
              <w:rPr>
                <w:rFonts w:ascii="Arial" w:hAnsi="Arial"/>
                <w:sz w:val="16"/>
              </w:rPr>
              <w:t>Subtalar eversion</w:t>
            </w:r>
          </w:p>
        </w:tc>
        <w:tc>
          <w:tcPr>
            <w:tcW w:type="dxa" w:w="1381"/>
          </w:tcPr>
          <w:p>
            <w:pPr>
              <w:spacing w:after="20"/>
            </w:pPr>
            <w:r/>
            <w:r>
              <w:rPr>
                <w:rFonts w:ascii="Arial" w:hAnsi="Arial"/>
                <w:sz w:val="16"/>
              </w:rPr>
              <w:t>0–15°</w:t>
            </w:r>
          </w:p>
        </w:tc>
        <w:tc>
          <w:tcPr>
            <w:tcW w:type="dxa" w:w="1946"/>
          </w:tcPr>
          <w:p>
            <w:pPr>
              <w:spacing w:after="20"/>
            </w:pPr>
            <w:r/>
            <w:r>
              <w:rPr>
                <w:rFonts w:ascii="Arial" w:hAnsi="Arial"/>
                <w:sz w:val="16"/>
              </w:rPr>
              <w:t>≈ 2°</w:t>
            </w:r>
          </w:p>
        </w:tc>
        <w:tc>
          <w:tcPr>
            <w:tcW w:type="dxa" w:w="1695"/>
          </w:tcPr>
          <w:p>
            <w:pPr>
              <w:spacing w:after="20"/>
            </w:pPr>
            <w:r/>
            <w:r>
              <w:rPr>
                <w:rFonts w:ascii="Arial" w:hAnsi="Arial"/>
                <w:sz w:val="16"/>
              </w:rPr>
              <w:t>(as above)</w:t>
            </w:r>
          </w:p>
        </w:tc>
        <w:tc>
          <w:tcPr>
            <w:tcW w:type="dxa" w:w="2825"/>
          </w:tcPr>
          <w:p>
            <w:pPr>
              <w:spacing w:after="20"/>
            </w:pPr>
            <w:r/>
            <w:r>
              <w:rPr>
                <w:rFonts w:ascii="Arial" w:hAnsi="Arial"/>
                <w:sz w:val="16"/>
              </w:rPr>
              <w:t>Compliance only</w:t>
            </w:r>
          </w:p>
        </w:tc>
      </w:tr>
      <w:tr>
        <w:tc>
          <w:tcPr>
            <w:tcW w:type="dxa" w:w="1946"/>
          </w:tcPr>
          <w:p>
            <w:pPr>
              <w:spacing w:after="20"/>
            </w:pPr>
            <w:r/>
            <w:r>
              <w:rPr>
                <w:rFonts w:ascii="Arial" w:hAnsi="Arial"/>
                <w:sz w:val="16"/>
              </w:rPr>
              <w:t>Transverse rotation</w:t>
            </w:r>
          </w:p>
        </w:tc>
        <w:tc>
          <w:tcPr>
            <w:tcW w:type="dxa" w:w="1381"/>
          </w:tcPr>
          <w:p>
            <w:pPr>
              <w:spacing w:after="20"/>
            </w:pPr>
            <w:r/>
            <w:r>
              <w:rPr>
                <w:rFonts w:ascii="Arial" w:hAnsi="Arial"/>
                <w:sz w:val="16"/>
              </w:rPr>
              <w:t>±10°</w:t>
            </w:r>
          </w:p>
        </w:tc>
        <w:tc>
          <w:tcPr>
            <w:tcW w:type="dxa" w:w="1946"/>
          </w:tcPr>
          <w:p>
            <w:pPr>
              <w:spacing w:after="20"/>
            </w:pPr>
            <w:r/>
            <w:r>
              <w:rPr>
                <w:rFonts w:ascii="Arial" w:hAnsi="Arial"/>
                <w:sz w:val="16"/>
              </w:rPr>
              <w:t>≈ ±8°</w:t>
            </w:r>
          </w:p>
        </w:tc>
        <w:tc>
          <w:tcPr>
            <w:tcW w:type="dxa" w:w="1695"/>
          </w:tcPr>
          <w:p>
            <w:pPr>
              <w:spacing w:after="20"/>
            </w:pPr>
            <w:r/>
            <w:r>
              <w:rPr>
                <w:rFonts w:ascii="Arial" w:hAnsi="Arial"/>
                <w:sz w:val="16"/>
              </w:rPr>
              <w:t>0° baseline</w:t>
            </w:r>
          </w:p>
        </w:tc>
        <w:tc>
          <w:tcPr>
            <w:tcW w:type="dxa" w:w="2825"/>
          </w:tcPr>
          <w:p>
            <w:pPr>
              <w:spacing w:after="20"/>
            </w:pPr>
            <w:r/>
            <w:r>
              <w:rPr>
                <w:rFonts w:ascii="Arial" w:hAnsi="Arial"/>
                <w:sz w:val="16"/>
              </w:rPr>
              <w:t>Deferred to sport module</w:t>
            </w:r>
          </w:p>
        </w:tc>
      </w:tr>
      <w:tr>
        <w:tc>
          <w:tcPr>
            <w:tcW w:type="dxa" w:w="1946"/>
          </w:tcPr>
          <w:p>
            <w:pPr>
              <w:spacing w:after="20"/>
            </w:pPr>
            <w:r/>
            <w:r>
              <w:rPr>
                <w:rFonts w:ascii="Arial" w:hAnsi="Arial"/>
                <w:sz w:val="16"/>
              </w:rPr>
              <w:t>MTP extension</w:t>
            </w:r>
          </w:p>
        </w:tc>
        <w:tc>
          <w:tcPr>
            <w:tcW w:type="dxa" w:w="1381"/>
          </w:tcPr>
          <w:p>
            <w:pPr>
              <w:spacing w:after="20"/>
            </w:pPr>
            <w:r/>
            <w:r>
              <w:rPr>
                <w:rFonts w:ascii="Arial" w:hAnsi="Arial"/>
                <w:sz w:val="16"/>
              </w:rPr>
              <w:t>0–70°</w:t>
            </w:r>
          </w:p>
        </w:tc>
        <w:tc>
          <w:tcPr>
            <w:tcW w:type="dxa" w:w="1946"/>
          </w:tcPr>
          <w:p>
            <w:pPr>
              <w:spacing w:after="20"/>
            </w:pPr>
            <w:r/>
            <w:r>
              <w:rPr>
                <w:rFonts w:ascii="Arial" w:hAnsi="Arial"/>
                <w:sz w:val="16"/>
              </w:rPr>
              <w:t>30–60°</w:t>
            </w:r>
          </w:p>
        </w:tc>
        <w:tc>
          <w:tcPr>
            <w:tcW w:type="dxa" w:w="1695"/>
          </w:tcPr>
          <w:p>
            <w:pPr>
              <w:spacing w:after="20"/>
            </w:pPr>
            <w:r/>
            <w:r>
              <w:rPr>
                <w:rFonts w:ascii="Arial" w:hAnsi="Arial"/>
                <w:sz w:val="16"/>
              </w:rPr>
              <w:t>Passive keel bending</w:t>
            </w:r>
          </w:p>
        </w:tc>
        <w:tc>
          <w:tcPr>
            <w:tcW w:type="dxa" w:w="2825"/>
          </w:tcPr>
          <w:p>
            <w:pPr>
              <w:spacing w:after="20"/>
            </w:pPr>
            <w:r/>
            <w:r>
              <w:rPr>
                <w:rFonts w:ascii="Arial" w:hAnsi="Arial"/>
                <w:sz w:val="16"/>
              </w:rPr>
              <w:t>Geometric, not articulated</w:t>
            </w:r>
          </w:p>
        </w:tc>
      </w:tr>
      <w:tr>
        <w:tc>
          <w:tcPr>
            <w:tcW w:type="dxa" w:w="1946"/>
          </w:tcPr>
          <w:p>
            <w:pPr>
              <w:spacing w:after="20"/>
            </w:pPr>
            <w:r/>
            <w:r>
              <w:rPr>
                <w:rFonts w:ascii="Arial" w:hAnsi="Arial"/>
                <w:sz w:val="16"/>
              </w:rPr>
              <w:t>Knee flexion (intact)</w:t>
            </w:r>
          </w:p>
        </w:tc>
        <w:tc>
          <w:tcPr>
            <w:tcW w:type="dxa" w:w="1381"/>
          </w:tcPr>
          <w:p>
            <w:pPr>
              <w:spacing w:after="20"/>
            </w:pPr>
            <w:r/>
            <w:r>
              <w:rPr>
                <w:rFonts w:ascii="Arial" w:hAnsi="Arial"/>
                <w:sz w:val="16"/>
              </w:rPr>
              <w:t>0–135°</w:t>
            </w:r>
          </w:p>
        </w:tc>
        <w:tc>
          <w:tcPr>
            <w:tcW w:type="dxa" w:w="1946"/>
          </w:tcPr>
          <w:p>
            <w:pPr>
              <w:spacing w:after="20"/>
            </w:pPr>
            <w:r/>
            <w:r>
              <w:rPr>
                <w:rFonts w:ascii="Arial" w:hAnsi="Arial"/>
                <w:sz w:val="16"/>
              </w:rPr>
              <w:t>0–60°</w:t>
            </w:r>
          </w:p>
        </w:tc>
        <w:tc>
          <w:tcPr>
            <w:tcW w:type="dxa" w:w="1695"/>
          </w:tcPr>
          <w:p>
            <w:pPr>
              <w:spacing w:after="20"/>
            </w:pPr>
            <w:r/>
            <w:r>
              <w:rPr>
                <w:rFonts w:ascii="Arial" w:hAnsi="Arial"/>
                <w:sz w:val="16"/>
              </w:rPr>
              <w:t>Unobstructed to 120°</w:t>
            </w:r>
          </w:p>
        </w:tc>
        <w:tc>
          <w:tcPr>
            <w:tcW w:type="dxa" w:w="2825"/>
          </w:tcPr>
          <w:p>
            <w:pPr>
              <w:spacing w:after="20"/>
            </w:pPr>
            <w:r/>
            <w:r>
              <w:rPr>
                <w:rFonts w:ascii="Arial" w:hAnsi="Arial"/>
                <w:sz w:val="16"/>
              </w:rPr>
              <w:t>Socket trim constraint</w:t>
            </w:r>
          </w:p>
        </w:tc>
      </w:tr>
    </w:tbl>
    <w:p>
      <w:pPr>
        <w:keepNext/>
        <w:spacing w:before="160" w:after="60"/>
      </w:pPr>
      <w:r>
        <w:rPr>
          <w:rFonts w:ascii="Arial" w:hAnsi="Arial"/>
          <w:b/>
          <w:color w:val="1F3B73"/>
          <w:sz w:val="21"/>
        </w:rPr>
        <w:t>2.3  Proposed Mechanisms</w:t>
      </w:r>
    </w:p>
    <w:p>
      <w:pPr>
        <w:spacing w:after="100"/>
        <w:jc w:val="both"/>
      </w:pPr>
      <w:r>
        <w:rPr>
          <w:rFonts w:ascii="Arial" w:hAnsi="Arial"/>
        </w:rPr>
        <w:t xml:space="preserve">The selected architecture is a </w:t>
      </w:r>
      <w:r>
        <w:rPr>
          <w:rFonts w:ascii="Arial" w:hAnsi="Arial"/>
          <w:b/>
        </w:rPr>
        <w:t>modular endoskeletal transtibial prosthesis</w:t>
      </w:r>
      <w:r>
        <w:rPr>
          <w:rFonts w:ascii="Arial" w:hAnsi="Arial"/>
        </w:rPr>
        <w:t>: a total-surface-bearing socket with a silicone liner and elevated vacuum suspension, a modular pylon, a hydraulically damped ankle carrying an elastomeric multiaxial bushing, and a one-piece energy-storing-and-returning (ESAR) carbon keel with a split toe. Figure 1 shows the arrangement.</w:t>
      </w:r>
    </w:p>
    <w:p>
      <w:pPr>
        <w:keepNext/>
        <w:spacing w:before="120"/>
        <w:jc w:val="center"/>
      </w:pPr>
      <w:r>
        <w:drawing>
          <wp:inline xmlns:a="http://schemas.openxmlformats.org/drawingml/2006/main" xmlns:pic="http://schemas.openxmlformats.org/drawingml/2006/picture">
            <wp:extent cx="5074920" cy="3304035"/>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074920" cy="3304035"/>
                    </a:xfrm>
                    <a:prstGeom prst="rect"/>
                  </pic:spPr>
                </pic:pic>
              </a:graphicData>
            </a:graphic>
          </wp:inline>
        </w:drawing>
      </w:r>
    </w:p>
    <w:p>
      <w:pPr>
        <w:spacing w:after="180"/>
        <w:jc w:val="center"/>
      </w:pPr>
      <w:r>
        <w:rPr>
          <w:rFonts w:ascii="Arial" w:hAnsi="Arial"/>
          <w:b/>
          <w:sz w:val="17"/>
        </w:rPr>
        <w:t>Figure 1.</w:t>
      </w:r>
      <w:r>
        <w:rPr>
          <w:rFonts w:ascii="Arial" w:hAnsi="Arial"/>
          <w:sz w:val="17"/>
        </w:rPr>
        <w:t xml:space="preserve"> Sagittal system layout of the proposed transtibial prosthesis. The knee is spanned by the socket but deliberately not replicated.</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2071"/>
        <w:gridCol w:w="2322"/>
        <w:gridCol w:w="5398"/>
      </w:tblGrid>
      <w:tr>
        <w:trPr>
          <w:tblHeader w:val="true"/>
        </w:trPr>
        <w:tc>
          <w:tcPr>
            <w:tcW w:type="dxa" w:w="2071"/>
            <w:shd w:val="clear" w:fill="E8EAED"/>
          </w:tcPr>
          <w:p>
            <w:pPr>
              <w:spacing w:after="20"/>
            </w:pPr>
            <w:r/>
            <w:r>
              <w:rPr>
                <w:rFonts w:ascii="Arial" w:hAnsi="Arial"/>
                <w:b/>
                <w:sz w:val="16"/>
              </w:rPr>
              <w:t>Candidate mechanism</w:t>
            </w:r>
          </w:p>
        </w:tc>
        <w:tc>
          <w:tcPr>
            <w:tcW w:type="dxa" w:w="2322"/>
            <w:shd w:val="clear" w:fill="E8EAED"/>
          </w:tcPr>
          <w:p>
            <w:pPr>
              <w:spacing w:after="20"/>
            </w:pPr>
            <w:r/>
            <w:r>
              <w:rPr>
                <w:rFonts w:ascii="Arial" w:hAnsi="Arial"/>
                <w:b/>
                <w:sz w:val="16"/>
              </w:rPr>
              <w:t>Function</w:t>
            </w:r>
          </w:p>
        </w:tc>
        <w:tc>
          <w:tcPr>
            <w:tcW w:type="dxa" w:w="5398"/>
            <w:shd w:val="clear" w:fill="E8EAED"/>
          </w:tcPr>
          <w:p>
            <w:pPr>
              <w:spacing w:after="20"/>
            </w:pPr>
            <w:r/>
            <w:r>
              <w:rPr>
                <w:rFonts w:ascii="Arial" w:hAnsi="Arial"/>
                <w:b/>
                <w:sz w:val="16"/>
              </w:rPr>
              <w:t>Assessment</w:t>
            </w:r>
          </w:p>
        </w:tc>
      </w:tr>
      <w:tr>
        <w:tc>
          <w:tcPr>
            <w:tcW w:type="dxa" w:w="2071"/>
          </w:tcPr>
          <w:p>
            <w:pPr>
              <w:spacing w:after="20"/>
            </w:pPr>
            <w:r/>
            <w:r>
              <w:rPr>
                <w:rFonts w:ascii="Arial" w:hAnsi="Arial"/>
                <w:sz w:val="16"/>
              </w:rPr>
              <w:t>SACH foot (solid ankle, cushion heel)</w:t>
            </w:r>
          </w:p>
        </w:tc>
        <w:tc>
          <w:tcPr>
            <w:tcW w:type="dxa" w:w="2322"/>
          </w:tcPr>
          <w:p>
            <w:pPr>
              <w:spacing w:after="20"/>
            </w:pPr>
            <w:r/>
            <w:r>
              <w:rPr>
                <w:rFonts w:ascii="Arial" w:hAnsi="Arial"/>
                <w:sz w:val="16"/>
              </w:rPr>
              <w:t>Compliant heel wedge, rigid keel</w:t>
            </w:r>
          </w:p>
        </w:tc>
        <w:tc>
          <w:tcPr>
            <w:tcW w:type="dxa" w:w="5398"/>
          </w:tcPr>
          <w:p>
            <w:pPr>
              <w:spacing w:after="20"/>
            </w:pPr>
            <w:r/>
            <w:r>
              <w:rPr>
                <w:rFonts w:ascii="Arial" w:hAnsi="Arial"/>
                <w:b/>
                <w:sz w:val="16"/>
              </w:rPr>
              <w:t>Rejected.</w:t>
            </w:r>
            <w:r>
              <w:rPr>
                <w:rFonts w:ascii="Arial" w:hAnsi="Arial"/>
                <w:sz w:val="16"/>
              </w:rPr>
              <w:t xml:space="preserve"> Lowest cost and mass, no moving parts, but returns almost no energy and cannot accommodate ramps. Inappropriate for a K3–K4 bilateral user.</w:t>
            </w:r>
          </w:p>
        </w:tc>
      </w:tr>
      <w:tr>
        <w:tc>
          <w:tcPr>
            <w:tcW w:type="dxa" w:w="2071"/>
          </w:tcPr>
          <w:p>
            <w:pPr>
              <w:spacing w:after="20"/>
            </w:pPr>
            <w:r/>
            <w:r>
              <w:rPr>
                <w:rFonts w:ascii="Arial" w:hAnsi="Arial"/>
                <w:sz w:val="16"/>
              </w:rPr>
              <w:t>Single-axis ankle with bumpers</w:t>
            </w:r>
          </w:p>
        </w:tc>
        <w:tc>
          <w:tcPr>
            <w:tcW w:type="dxa" w:w="2322"/>
          </w:tcPr>
          <w:p>
            <w:pPr>
              <w:spacing w:after="20"/>
            </w:pPr>
            <w:r/>
            <w:r>
              <w:rPr>
                <w:rFonts w:ascii="Arial" w:hAnsi="Arial"/>
                <w:sz w:val="16"/>
              </w:rPr>
              <w:t>Sagittal rotation against elastomer stops</w:t>
            </w:r>
          </w:p>
        </w:tc>
        <w:tc>
          <w:tcPr>
            <w:tcW w:type="dxa" w:w="5398"/>
          </w:tcPr>
          <w:p>
            <w:pPr>
              <w:spacing w:after="20"/>
            </w:pPr>
            <w:r/>
            <w:r>
              <w:rPr>
                <w:rFonts w:ascii="Arial" w:hAnsi="Arial"/>
                <w:b/>
                <w:sz w:val="16"/>
              </w:rPr>
              <w:t>Rejected as sole mechanism.</w:t>
            </w:r>
            <w:r>
              <w:rPr>
                <w:rFonts w:ascii="Arial" w:hAnsi="Arial"/>
                <w:sz w:val="16"/>
              </w:rPr>
              <w:t xml:space="preserve"> Gives plantarflexion at loading response but no velocity-dependent control and no energy return.</w:t>
            </w:r>
          </w:p>
        </w:tc>
      </w:tr>
      <w:tr>
        <w:tc>
          <w:tcPr>
            <w:tcW w:type="dxa" w:w="2071"/>
          </w:tcPr>
          <w:p>
            <w:pPr>
              <w:spacing w:after="20"/>
            </w:pPr>
            <w:r/>
            <w:r>
              <w:rPr>
                <w:rFonts w:ascii="Arial" w:hAnsi="Arial"/>
                <w:sz w:val="16"/>
              </w:rPr>
              <w:t>ESAR carbon keel</w:t>
            </w:r>
          </w:p>
        </w:tc>
        <w:tc>
          <w:tcPr>
            <w:tcW w:type="dxa" w:w="2322"/>
          </w:tcPr>
          <w:p>
            <w:pPr>
              <w:spacing w:after="20"/>
            </w:pPr>
            <w:r/>
            <w:r>
              <w:rPr>
                <w:rFonts w:ascii="Arial" w:hAnsi="Arial"/>
                <w:sz w:val="16"/>
              </w:rPr>
              <w:t>Stores strain energy in midstance, returns it at push-off</w:t>
            </w:r>
          </w:p>
        </w:tc>
        <w:tc>
          <w:tcPr>
            <w:tcW w:type="dxa" w:w="5398"/>
          </w:tcPr>
          <w:p>
            <w:pPr>
              <w:spacing w:after="20"/>
            </w:pPr>
            <w:r/>
            <w:r>
              <w:rPr>
                <w:rFonts w:ascii="Arial" w:hAnsi="Arial"/>
                <w:b/>
                <w:sz w:val="16"/>
              </w:rPr>
              <w:t>Selected.</w:t>
            </w:r>
            <w:r>
              <w:rPr>
                <w:rFonts w:ascii="Arial" w:hAnsi="Arial"/>
                <w:sz w:val="16"/>
              </w:rPr>
              <w:t xml:space="preserve"> Principal energy-return element; see §2.6 for sizing.</w:t>
            </w:r>
          </w:p>
        </w:tc>
      </w:tr>
      <w:tr>
        <w:tc>
          <w:tcPr>
            <w:tcW w:type="dxa" w:w="2071"/>
          </w:tcPr>
          <w:p>
            <w:pPr>
              <w:spacing w:after="20"/>
            </w:pPr>
            <w:r/>
            <w:r>
              <w:rPr>
                <w:rFonts w:ascii="Arial" w:hAnsi="Arial"/>
                <w:sz w:val="16"/>
              </w:rPr>
              <w:t>Hydraulic ankle damper</w:t>
            </w:r>
          </w:p>
        </w:tc>
        <w:tc>
          <w:tcPr>
            <w:tcW w:type="dxa" w:w="2322"/>
          </w:tcPr>
          <w:p>
            <w:pPr>
              <w:spacing w:after="20"/>
            </w:pPr>
            <w:r/>
            <w:r>
              <w:rPr>
                <w:rFonts w:ascii="Arial" w:hAnsi="Arial"/>
                <w:sz w:val="16"/>
              </w:rPr>
              <w:t>Velocity-dependent resistance; hydrostatic ramp adaptation</w:t>
            </w:r>
          </w:p>
        </w:tc>
        <w:tc>
          <w:tcPr>
            <w:tcW w:type="dxa" w:w="5398"/>
          </w:tcPr>
          <w:p>
            <w:pPr>
              <w:spacing w:after="20"/>
            </w:pPr>
            <w:r/>
            <w:r>
              <w:rPr>
                <w:rFonts w:ascii="Arial" w:hAnsi="Arial"/>
                <w:b/>
                <w:sz w:val="16"/>
              </w:rPr>
              <w:t>Selected.</w:t>
            </w:r>
            <w:r>
              <w:rPr>
                <w:rFonts w:ascii="Arial" w:hAnsi="Arial"/>
                <w:sz w:val="16"/>
              </w:rPr>
              <w:t xml:space="preserve"> Controls heel descent and sets dorsiflexion resistance. Particularly valuable bilaterally, where neither limb can borrow stability from a sound side.</w:t>
            </w:r>
          </w:p>
        </w:tc>
      </w:tr>
      <w:tr>
        <w:tc>
          <w:tcPr>
            <w:tcW w:type="dxa" w:w="2071"/>
          </w:tcPr>
          <w:p>
            <w:pPr>
              <w:spacing w:after="20"/>
            </w:pPr>
            <w:r/>
            <w:r>
              <w:rPr>
                <w:rFonts w:ascii="Arial" w:hAnsi="Arial"/>
                <w:sz w:val="16"/>
              </w:rPr>
              <w:t>Elastomeric multiaxial bushing</w:t>
            </w:r>
          </w:p>
        </w:tc>
        <w:tc>
          <w:tcPr>
            <w:tcW w:type="dxa" w:w="2322"/>
          </w:tcPr>
          <w:p>
            <w:pPr>
              <w:spacing w:after="20"/>
            </w:pPr>
            <w:r/>
            <w:r>
              <w:rPr>
                <w:rFonts w:ascii="Arial" w:hAnsi="Arial"/>
                <w:sz w:val="16"/>
              </w:rPr>
              <w:t>Passive coronal and transverse compliance</w:t>
            </w:r>
          </w:p>
        </w:tc>
        <w:tc>
          <w:tcPr>
            <w:tcW w:type="dxa" w:w="5398"/>
          </w:tcPr>
          <w:p>
            <w:pPr>
              <w:spacing w:after="20"/>
            </w:pPr>
            <w:r/>
            <w:r>
              <w:rPr>
                <w:rFonts w:ascii="Arial" w:hAnsi="Arial"/>
                <w:b/>
                <w:sz w:val="16"/>
              </w:rPr>
              <w:t>Selected.</w:t>
            </w:r>
            <w:r>
              <w:rPr>
                <w:rFonts w:ascii="Arial" w:hAnsi="Arial"/>
                <w:sz w:val="16"/>
              </w:rPr>
              <w:t xml:space="preserve"> Supplies the ±6° of subtalar give from §2.2 at minimal mass.</w:t>
            </w:r>
          </w:p>
        </w:tc>
      </w:tr>
      <w:tr>
        <w:tc>
          <w:tcPr>
            <w:tcW w:type="dxa" w:w="2071"/>
          </w:tcPr>
          <w:p>
            <w:pPr>
              <w:spacing w:after="20"/>
            </w:pPr>
            <w:r/>
            <w:r>
              <w:rPr>
                <w:rFonts w:ascii="Arial" w:hAnsi="Arial"/>
                <w:sz w:val="16"/>
              </w:rPr>
              <w:t>Powered (motorised) ankle</w:t>
            </w:r>
          </w:p>
        </w:tc>
        <w:tc>
          <w:tcPr>
            <w:tcW w:type="dxa" w:w="2322"/>
          </w:tcPr>
          <w:p>
            <w:pPr>
              <w:spacing w:after="20"/>
            </w:pPr>
            <w:r/>
            <w:r>
              <w:rPr>
                <w:rFonts w:ascii="Arial" w:hAnsi="Arial"/>
                <w:sz w:val="16"/>
              </w:rPr>
              <w:t>Active net-positive push-off work</w:t>
            </w:r>
          </w:p>
        </w:tc>
        <w:tc>
          <w:tcPr>
            <w:tcW w:type="dxa" w:w="5398"/>
          </w:tcPr>
          <w:p>
            <w:pPr>
              <w:spacing w:after="20"/>
            </w:pPr>
            <w:r/>
            <w:r>
              <w:rPr>
                <w:rFonts w:ascii="Arial" w:hAnsi="Arial"/>
                <w:b/>
                <w:sz w:val="16"/>
              </w:rPr>
              <w:t>Considered, deferred.</w:t>
            </w:r>
            <w:r>
              <w:rPr>
                <w:rFonts w:ascii="Arial" w:hAnsi="Arial"/>
                <w:sz w:val="16"/>
              </w:rPr>
              <w:t xml:space="preserve"> Restores physiological push-off power and is attractive bilaterally, but adds ≈ 2 kg, a charging regimen and a large cost increment. Retained as a growth path, not the baseline.</w:t>
            </w:r>
          </w:p>
        </w:tc>
      </w:tr>
      <w:tr>
        <w:tc>
          <w:tcPr>
            <w:tcW w:type="dxa" w:w="2071"/>
          </w:tcPr>
          <w:p>
            <w:pPr>
              <w:spacing w:after="20"/>
            </w:pPr>
            <w:r/>
            <w:r>
              <w:rPr>
                <w:rFonts w:ascii="Arial" w:hAnsi="Arial"/>
                <w:sz w:val="16"/>
              </w:rPr>
              <w:t>Microprocessor control layer</w:t>
            </w:r>
          </w:p>
        </w:tc>
        <w:tc>
          <w:tcPr>
            <w:tcW w:type="dxa" w:w="2322"/>
          </w:tcPr>
          <w:p>
            <w:pPr>
              <w:spacing w:after="20"/>
            </w:pPr>
            <w:r/>
            <w:r>
              <w:rPr>
                <w:rFonts w:ascii="Arial" w:hAnsi="Arial"/>
                <w:sz w:val="16"/>
              </w:rPr>
              <w:t>Phase detection and adaptive damping</w:t>
            </w:r>
          </w:p>
        </w:tc>
        <w:tc>
          <w:tcPr>
            <w:tcW w:type="dxa" w:w="5398"/>
          </w:tcPr>
          <w:p>
            <w:pPr>
              <w:spacing w:after="20"/>
            </w:pPr>
            <w:r/>
            <w:r>
              <w:rPr>
                <w:rFonts w:ascii="Arial" w:hAnsi="Arial"/>
                <w:b/>
                <w:sz w:val="16"/>
              </w:rPr>
              <w:t>Selected (optional module).</w:t>
            </w:r>
            <w:r>
              <w:rPr>
                <w:rFonts w:ascii="Arial" w:hAnsi="Arial"/>
                <w:sz w:val="16"/>
              </w:rPr>
              <w:t xml:space="preserve"> Control logic in Figure 3.</w:t>
            </w:r>
          </w:p>
        </w:tc>
      </w:tr>
    </w:tbl>
    <w:p>
      <w:pPr>
        <w:keepNext/>
        <w:spacing w:before="160" w:after="60"/>
      </w:pPr>
      <w:r>
        <w:rPr>
          <w:rFonts w:ascii="Arial" w:hAnsi="Arial"/>
          <w:b/>
          <w:color w:val="1F3B73"/>
          <w:sz w:val="21"/>
        </w:rPr>
        <w:t>2.4  Control Logic</w:t>
      </w:r>
    </w:p>
    <w:p>
      <w:pPr>
        <w:spacing w:after="100"/>
        <w:jc w:val="both"/>
      </w:pPr>
      <w:r>
        <w:rPr>
          <w:rFonts w:ascii="Arial" w:hAnsi="Arial"/>
        </w:rPr>
        <w:t>Because a microprocessor-controlled hydraulic ankle is included, its control logic is specified. The controller samples an inertial measurement unit and a pylon-mounted load cell, classifies the gait phase, and modulates valve orifice area accordingly. A slope-estimation branch shifts the neutral ankle angle on grades — the single highest-value adaptive behaviour for a bilateral user, who cannot compensate for a ramp with a sound ankle.</w:t>
      </w:r>
    </w:p>
    <w:p>
      <w:pPr>
        <w:keepNext/>
        <w:spacing w:before="120"/>
        <w:jc w:val="center"/>
      </w:pPr>
      <w:r>
        <w:drawing>
          <wp:inline xmlns:a="http://schemas.openxmlformats.org/drawingml/2006/main" xmlns:pic="http://schemas.openxmlformats.org/drawingml/2006/picture">
            <wp:extent cx="3977639" cy="3317672"/>
            <wp:docPr id="2" name="Picture 2"/>
            <wp:cNvGraphicFramePr>
              <a:graphicFrameLocks noChangeAspect="1"/>
            </wp:cNvGraphicFramePr>
            <a:graphic>
              <a:graphicData uri="http://schemas.openxmlformats.org/drawingml/2006/picture">
                <pic:pic>
                  <pic:nvPicPr>
                    <pic:cNvPr id="0" name="fig3_logic.png"/>
                    <pic:cNvPicPr/>
                  </pic:nvPicPr>
                  <pic:blipFill>
                    <a:blip r:embed="rId10"/>
                    <a:stretch>
                      <a:fillRect/>
                    </a:stretch>
                  </pic:blipFill>
                  <pic:spPr>
                    <a:xfrm>
                      <a:off x="0" y="0"/>
                      <a:ext cx="3977639" cy="3317672"/>
                    </a:xfrm>
                    <a:prstGeom prst="rect"/>
                  </pic:spPr>
                </pic:pic>
              </a:graphicData>
            </a:graphic>
          </wp:inline>
        </w:drawing>
      </w:r>
    </w:p>
    <w:p>
      <w:pPr>
        <w:spacing w:after="180"/>
        <w:jc w:val="center"/>
      </w:pPr>
      <w:r>
        <w:rPr>
          <w:rFonts w:ascii="Arial" w:hAnsi="Arial"/>
          <w:b/>
          <w:sz w:val="17"/>
        </w:rPr>
        <w:t>Figure 3.</w:t>
      </w:r>
      <w:r>
        <w:rPr>
          <w:rFonts w:ascii="Arial" w:hAnsi="Arial"/>
          <w:sz w:val="17"/>
        </w:rPr>
        <w:t xml:space="preserve"> Control logic for the microprocessor-regulated hydraulic ankle.</w:t>
      </w:r>
    </w:p>
    <w:p>
      <w:pPr>
        <w:keepNext/>
        <w:spacing w:before="160" w:after="60"/>
      </w:pPr>
      <w:r>
        <w:rPr>
          <w:rFonts w:ascii="Arial" w:hAnsi="Arial"/>
          <w:b/>
          <w:color w:val="1F3B73"/>
          <w:sz w:val="21"/>
        </w:rPr>
        <w:t>2.5  Ground Reaction Forces and Joint Reaction Forces</w:t>
      </w:r>
    </w:p>
    <w:p>
      <w:pPr>
        <w:spacing w:after="100"/>
        <w:jc w:val="both"/>
      </w:pPr>
      <w:r>
        <w:rPr>
          <w:rFonts w:ascii="Arial" w:hAnsi="Arial"/>
        </w:rPr>
        <w:t>Vertical ground reaction force in level walking follows the characteristic double-humped profile, peaking near 1.1 BW at loading response and 1.2 BW at terminal stance with a midstance trough near 0.8 BW; anteroposterior shear reaches roughly ±0.2 BW, braking in early stance and propulsive in late stance [6]. Terminal stance governs the ankle, because the centre of pressure has advanced to the metatarsal heads and the moment arm about the ankle is greatest. Figure 2 gives the loading profile and the foot-segment free-body diagram.</w:t>
      </w:r>
    </w:p>
    <w:p>
      <w:pPr>
        <w:keepNext/>
        <w:spacing w:before="120"/>
        <w:jc w:val="center"/>
      </w:pPr>
      <w:r>
        <w:drawing>
          <wp:inline xmlns:a="http://schemas.openxmlformats.org/drawingml/2006/main" xmlns:pic="http://schemas.openxmlformats.org/drawingml/2006/picture">
            <wp:extent cx="5760720" cy="2481541"/>
            <wp:docPr id="3" name="Picture 3"/>
            <wp:cNvGraphicFramePr>
              <a:graphicFrameLocks noChangeAspect="1"/>
            </wp:cNvGraphicFramePr>
            <a:graphic>
              <a:graphicData uri="http://schemas.openxmlformats.org/drawingml/2006/picture">
                <pic:pic>
                  <pic:nvPicPr>
                    <pic:cNvPr id="0" name="fig2_walkfbd.png"/>
                    <pic:cNvPicPr/>
                  </pic:nvPicPr>
                  <pic:blipFill>
                    <a:blip r:embed="rId11"/>
                    <a:stretch>
                      <a:fillRect/>
                    </a:stretch>
                  </pic:blipFill>
                  <pic:spPr>
                    <a:xfrm>
                      <a:off x="0" y="0"/>
                      <a:ext cx="5760720" cy="2481541"/>
                    </a:xfrm>
                    <a:prstGeom prst="rect"/>
                  </pic:spPr>
                </pic:pic>
              </a:graphicData>
            </a:graphic>
          </wp:inline>
        </w:drawing>
      </w:r>
    </w:p>
    <w:p>
      <w:pPr>
        <w:spacing w:after="180"/>
        <w:jc w:val="center"/>
      </w:pPr>
      <w:r>
        <w:rPr>
          <w:rFonts w:ascii="Arial" w:hAnsi="Arial"/>
          <w:b/>
          <w:sz w:val="17"/>
        </w:rPr>
        <w:t>Figure 2.</w:t>
      </w:r>
      <w:r>
        <w:rPr>
          <w:rFonts w:ascii="Arial" w:hAnsi="Arial"/>
          <w:sz w:val="17"/>
        </w:rPr>
        <w:t xml:space="preserve"> (a) Walking ground reaction force profile for the 60 kg design case. (b) Foot-segment free-body diagram at terminal stance.</w:t>
      </w:r>
    </w:p>
    <w:p>
      <w:pPr>
        <w:spacing w:after="100"/>
        <w:jc w:val="both"/>
      </w:pPr>
      <w:r>
        <w:rPr>
          <w:rFonts w:ascii="Arial" w:hAnsi="Arial"/>
        </w:rPr>
        <w:t>Taking the prosthetic foot as a free body and neglecting its weight (≈ 4 N, under 1% of the applied load), static equilibrium gives:</w:t>
      </w:r>
    </w:p>
    <w:p>
      <w:pPr>
        <w:spacing w:before="60" w:after="100"/>
        <w:jc w:val="center"/>
      </w:pPr>
      <w:r>
        <w:rPr>
          <w:rFonts w:ascii="Arial" w:hAnsi="Arial"/>
          <w:i/>
          <w:sz w:val="21"/>
        </w:rPr>
        <w:t>ΣFy = 0 :   Rv = Fv = 1.2 (588.6) = 706 N</w:t>
      </w:r>
    </w:p>
    <w:p>
      <w:pPr>
        <w:spacing w:before="60" w:after="100"/>
        <w:jc w:val="center"/>
      </w:pPr>
      <w:r>
        <w:rPr>
          <w:rFonts w:ascii="Arial" w:hAnsi="Arial"/>
          <w:i/>
          <w:sz w:val="21"/>
        </w:rPr>
        <w:t>ΣFx = 0 :   Rh = Fap = 0.2 (588.6) = 118 N</w:t>
      </w:r>
    </w:p>
    <w:p>
      <w:pPr>
        <w:spacing w:before="60" w:after="100"/>
        <w:jc w:val="center"/>
      </w:pPr>
      <w:r>
        <w:rPr>
          <w:rFonts w:ascii="Arial" w:hAnsi="Arial"/>
          <w:i/>
          <w:sz w:val="21"/>
        </w:rPr>
        <w:t>ΣMankle = 0 :   Ma = Fv d − Fap h = 706 (0.13) − 118 (0.07) = 83.6 N·m</w:t>
      </w:r>
    </w:p>
    <w:p>
      <w:pPr>
        <w:spacing w:before="60" w:after="100"/>
        <w:jc w:val="center"/>
      </w:pPr>
      <w:r>
        <w:rPr>
          <w:rFonts w:ascii="Arial" w:hAnsi="Arial"/>
          <w:i/>
          <w:sz w:val="21"/>
        </w:rPr>
        <w:t>R = √(Rv² + Rh²) = √(706² + 118²) = 716 N  =  1.22 BW</w:t>
      </w:r>
    </w:p>
    <w:p>
      <w:pPr>
        <w:spacing w:after="100"/>
        <w:jc w:val="both"/>
      </w:pPr>
      <w:r>
        <w:rPr>
          <w:rFonts w:ascii="Arial" w:hAnsi="Arial"/>
          <w:b/>
        </w:rPr>
        <w:t>Sanity check.</w:t>
      </w:r>
      <w:r>
        <w:rPr>
          <w:rFonts w:ascii="Arial" w:hAnsi="Arial"/>
        </w:rPr>
        <w:t xml:space="preserve"> The computed ankle moment normalises to 83.6 / 60 = </w:t>
      </w:r>
      <w:r>
        <w:rPr>
          <w:rFonts w:ascii="Arial" w:hAnsi="Arial"/>
          <w:b/>
        </w:rPr>
        <w:t>1.39 N·m/kg</w:t>
      </w:r>
      <w:r>
        <w:rPr>
          <w:rFonts w:ascii="Arial" w:hAnsi="Arial"/>
        </w:rPr>
        <w:t>, against a literature norm for peak plantarflexor moment in walking of roughly 1.4–1.6 N·m/kg [6]. The model is therefore slightly conservative in the right direction and the geometry assumptions are sound.</w:t>
      </w:r>
    </w:p>
    <w:p>
      <w:pPr>
        <w:keepNext/>
        <w:spacing w:before="160" w:after="60"/>
      </w:pPr>
      <w:r>
        <w:rPr>
          <w:rFonts w:ascii="Arial" w:hAnsi="Arial"/>
          <w:b/>
          <w:color w:val="1F3B73"/>
          <w:sz w:val="21"/>
        </w:rPr>
        <w:t>2.6  Structural Sizing and Material Selection</w:t>
      </w:r>
    </w:p>
    <w:p>
      <w:pPr>
        <w:spacing w:after="100"/>
        <w:jc w:val="both"/>
      </w:pPr>
      <w:r>
        <w:rPr>
          <w:rFonts w:ascii="Arial" w:hAnsi="Arial"/>
          <w:b/>
        </w:rPr>
        <w:t>Pylon.</w:t>
      </w:r>
      <w:r>
        <w:rPr>
          <w:rFonts w:ascii="Arial" w:hAnsi="Arial"/>
        </w:rPr>
        <w:t xml:space="preserve"> Taking a 30 mm outside diameter tube with 2 mm wall: </w:t>
      </w:r>
      <w:r>
        <w:rPr>
          <w:rFonts w:ascii="Arial" w:hAnsi="Arial"/>
          <w:i/>
        </w:rPr>
        <w:t>A</w:t>
      </w:r>
      <w:r>
        <w:rPr>
          <w:rFonts w:ascii="Arial" w:hAnsi="Arial"/>
        </w:rPr>
        <w:t xml:space="preserve"> = 175.9 mm², </w:t>
      </w:r>
      <w:r>
        <w:rPr>
          <w:rFonts w:ascii="Arial" w:hAnsi="Arial"/>
          <w:i/>
        </w:rPr>
        <w:t>I</w:t>
      </w:r>
      <w:r>
        <w:rPr>
          <w:rFonts w:ascii="Arial" w:hAnsi="Arial"/>
        </w:rPr>
        <w:t xml:space="preserve"> = 17,329 mm⁴, </w:t>
      </w:r>
      <w:r>
        <w:rPr>
          <w:rFonts w:ascii="Arial" w:hAnsi="Arial"/>
          <w:i/>
        </w:rPr>
        <w:t>Z</w:t>
      </w:r>
      <w:r>
        <w:rPr>
          <w:rFonts w:ascii="Arial" w:hAnsi="Arial"/>
        </w:rPr>
        <w:t xml:space="preserve"> = </w:t>
      </w:r>
      <w:r>
        <w:rPr>
          <w:rFonts w:ascii="Arial" w:hAnsi="Arial"/>
          <w:i/>
        </w:rPr>
        <w:t>I</w:t>
      </w:r>
      <w:r>
        <w:rPr>
          <w:rFonts w:ascii="Arial" w:hAnsi="Arial"/>
        </w:rPr>
        <w:t>/</w:t>
      </w:r>
      <w:r>
        <w:rPr>
          <w:rFonts w:ascii="Arial" w:hAnsi="Arial"/>
          <w:i/>
        </w:rPr>
        <w:t>c</w:t>
      </w:r>
      <w:r>
        <w:rPr>
          <w:rFonts w:ascii="Arial" w:hAnsi="Arial"/>
        </w:rPr>
        <w:t xml:space="preserve"> = 1,155 mm³. The ankle moment is transmitted up the pylon, so combined axial and bending stress is:</w:t>
      </w:r>
    </w:p>
    <w:p>
      <w:pPr>
        <w:spacing w:before="60" w:after="100"/>
        <w:jc w:val="center"/>
      </w:pPr>
      <w:r>
        <w:rPr>
          <w:rFonts w:ascii="Arial" w:hAnsi="Arial"/>
          <w:i/>
          <w:sz w:val="21"/>
        </w:rPr>
        <w:t>σ = P/A + Ma/Z = 706/175.9 + 83,600/1,155 = 4.0 + 72.3 = 76.4 MPa</w:t>
      </w:r>
    </w:p>
    <w:p>
      <w:pPr>
        <w:spacing w:after="100"/>
        <w:jc w:val="both"/>
      </w:pPr>
      <w:r>
        <w:rPr>
          <w:rFonts w:ascii="Arial" w:hAnsi="Arial"/>
          <w:b/>
        </w:rPr>
        <w:t>Keel.</w:t>
      </w:r>
      <w:r>
        <w:rPr>
          <w:rFonts w:ascii="Arial" w:hAnsi="Arial"/>
        </w:rPr>
        <w:t xml:space="preserve"> The forefoot keel is treated as a cantilever of width </w:t>
      </w:r>
      <w:r>
        <w:rPr>
          <w:rFonts w:ascii="Arial" w:hAnsi="Arial"/>
          <w:i/>
        </w:rPr>
        <w:t>b</w:t>
      </w:r>
      <w:r>
        <w:rPr>
          <w:rFonts w:ascii="Arial" w:hAnsi="Arial"/>
        </w:rPr>
        <w:t xml:space="preserve"> = 60 mm and thickness </w:t>
      </w:r>
      <w:r>
        <w:rPr>
          <w:rFonts w:ascii="Arial" w:hAnsi="Arial"/>
          <w:i/>
        </w:rPr>
        <w:t>t</w:t>
      </w:r>
      <w:r>
        <w:rPr>
          <w:rFonts w:ascii="Arial" w:hAnsi="Arial"/>
        </w:rPr>
        <w:t xml:space="preserve">, loaded at </w:t>
      </w:r>
      <w:r>
        <w:rPr>
          <w:rFonts w:ascii="Arial" w:hAnsi="Arial"/>
          <w:i/>
        </w:rPr>
        <w:t>d</w:t>
      </w:r>
      <w:r>
        <w:rPr>
          <w:rFonts w:ascii="Arial" w:hAnsi="Arial"/>
        </w:rPr>
        <w:t xml:space="preserve"> = 0.13 m, with </w:t>
      </w:r>
      <w:r>
        <w:rPr>
          <w:rFonts w:ascii="Arial" w:hAnsi="Arial"/>
          <w:i/>
        </w:rPr>
        <w:t>Z</w:t>
      </w:r>
      <w:r>
        <w:rPr>
          <w:rFonts w:ascii="Arial" w:hAnsi="Arial"/>
        </w:rPr>
        <w:t xml:space="preserve"> = </w:t>
      </w:r>
      <w:r>
        <w:rPr>
          <w:rFonts w:ascii="Arial" w:hAnsi="Arial"/>
          <w:i/>
        </w:rPr>
        <w:t>bt</w:t>
      </w:r>
      <w:r>
        <w:rPr>
          <w:rFonts w:ascii="Arial" w:hAnsi="Arial"/>
        </w:rPr>
        <w:t xml:space="preserve">²/6. Setting an allowable of 350 MPa (safety factor 2 on a 700 MPa unidirectional carbon flexural strength) gives </w:t>
      </w:r>
      <w:r>
        <w:rPr>
          <w:rFonts w:ascii="Arial" w:hAnsi="Arial"/>
          <w:i/>
        </w:rPr>
        <w:t>t</w:t>
      </w:r>
      <w:r>
        <w:rPr>
          <w:rFonts w:ascii="Arial" w:hAnsi="Arial"/>
        </w:rPr>
        <w:t xml:space="preserve"> = 5.13 mm, and with </w:t>
      </w:r>
      <w:r>
        <w:rPr>
          <w:rFonts w:ascii="Arial" w:hAnsi="Arial"/>
          <w:i/>
        </w:rPr>
        <w:t>E</w:t>
      </w:r>
      <w:r>
        <w:rPr>
          <w:rFonts w:ascii="Arial" w:hAnsi="Arial"/>
        </w:rPr>
        <w:t xml:space="preserve"> ≈ 120 GPa the tip deflection is 6.4 mm, storing ½</w:t>
      </w:r>
      <w:r>
        <w:rPr>
          <w:rFonts w:ascii="Arial" w:hAnsi="Arial"/>
          <w:i/>
        </w:rPr>
        <w:t>Fδ</w:t>
      </w:r>
      <w:r>
        <w:rPr>
          <w:rFonts w:ascii="Arial" w:hAnsi="Arial"/>
        </w:rPr>
        <w:t xml:space="preserve"> ≈ 2.3 J per step. Thinning the keel to 4.5 mm raises stress to 453 MPa (safety factor 1.5) but increases deflection to 9.5 mm and stored energy to 3.3 J. </w:t>
      </w:r>
      <w:r>
        <w:rPr>
          <w:rFonts w:ascii="Arial" w:hAnsi="Arial"/>
          <w:b/>
        </w:rPr>
        <w:t>Keel thickness is therefore a direct trade between energy return and structural margin</w:t>
      </w:r>
      <w:r>
        <w:rPr>
          <w:rFonts w:ascii="Arial" w:hAnsi="Arial"/>
        </w:rPr>
        <w:t xml:space="preserve"> — a 12% reduction in thickness buys 46% more returned energy at the cost of a third of the safety factor. This is the central tuning parameter of the design and should be set per patient against measured cadence and body mass.</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1185"/>
        <w:gridCol w:w="1456"/>
        <w:gridCol w:w="1054"/>
        <w:gridCol w:w="954"/>
        <w:gridCol w:w="421"/>
        <w:gridCol w:w="4720"/>
      </w:tblGrid>
      <w:tr>
        <w:trPr>
          <w:tblHeader w:val="true"/>
        </w:trPr>
        <w:tc>
          <w:tcPr>
            <w:tcW w:type="dxa" w:w="1185"/>
            <w:shd w:val="clear" w:fill="E8EAED"/>
          </w:tcPr>
          <w:p>
            <w:pPr>
              <w:spacing w:after="20"/>
            </w:pPr>
            <w:r/>
            <w:r>
              <w:rPr>
                <w:rFonts w:ascii="Arial" w:hAnsi="Arial"/>
                <w:b/>
                <w:sz w:val="16"/>
              </w:rPr>
              <w:t>Component</w:t>
            </w:r>
          </w:p>
        </w:tc>
        <w:tc>
          <w:tcPr>
            <w:tcW w:type="dxa" w:w="1456"/>
            <w:shd w:val="clear" w:fill="E8EAED"/>
          </w:tcPr>
          <w:p>
            <w:pPr>
              <w:spacing w:after="20"/>
            </w:pPr>
            <w:r/>
            <w:r>
              <w:rPr>
                <w:rFonts w:ascii="Arial" w:hAnsi="Arial"/>
                <w:b/>
                <w:sz w:val="16"/>
              </w:rPr>
              <w:t>Material</w:t>
            </w:r>
          </w:p>
        </w:tc>
        <w:tc>
          <w:tcPr>
            <w:tcW w:type="dxa" w:w="1055"/>
            <w:shd w:val="clear" w:fill="E8EAED"/>
          </w:tcPr>
          <w:p>
            <w:pPr>
              <w:spacing w:after="20"/>
            </w:pPr>
            <w:r/>
            <w:r>
              <w:rPr>
                <w:rFonts w:ascii="Arial" w:hAnsi="Arial"/>
                <w:b/>
                <w:sz w:val="16"/>
              </w:rPr>
              <w:t>Yield / strength</w:t>
            </w:r>
          </w:p>
        </w:tc>
        <w:tc>
          <w:tcPr>
            <w:tcW w:type="dxa" w:w="954"/>
            <w:shd w:val="clear" w:fill="E8EAED"/>
          </w:tcPr>
          <w:p>
            <w:pPr>
              <w:spacing w:after="20"/>
            </w:pPr>
            <w:r/>
            <w:r>
              <w:rPr>
                <w:rFonts w:ascii="Arial" w:hAnsi="Arial"/>
                <w:b/>
                <w:sz w:val="16"/>
              </w:rPr>
              <w:t>Computed stress</w:t>
            </w:r>
          </w:p>
        </w:tc>
        <w:tc>
          <w:tcPr>
            <w:tcW w:type="dxa" w:w="422"/>
            <w:shd w:val="clear" w:fill="E8EAED"/>
          </w:tcPr>
          <w:p>
            <w:pPr>
              <w:spacing w:after="20"/>
            </w:pPr>
            <w:r/>
            <w:r>
              <w:rPr>
                <w:rFonts w:ascii="Arial" w:hAnsi="Arial"/>
                <w:b/>
                <w:sz w:val="16"/>
              </w:rPr>
              <w:t>SF</w:t>
            </w:r>
          </w:p>
        </w:tc>
        <w:tc>
          <w:tcPr>
            <w:tcW w:type="dxa" w:w="4720"/>
            <w:shd w:val="clear" w:fill="E8EAED"/>
          </w:tcPr>
          <w:p>
            <w:pPr>
              <w:spacing w:after="20"/>
            </w:pPr>
            <w:r/>
            <w:r>
              <w:rPr>
                <w:rFonts w:ascii="Arial" w:hAnsi="Arial"/>
                <w:b/>
                <w:sz w:val="16"/>
              </w:rPr>
              <w:t>Justification</w:t>
            </w:r>
          </w:p>
        </w:tc>
      </w:tr>
      <w:tr>
        <w:tc>
          <w:tcPr>
            <w:tcW w:type="dxa" w:w="1185"/>
          </w:tcPr>
          <w:p>
            <w:pPr>
              <w:spacing w:after="20"/>
            </w:pPr>
            <w:r/>
            <w:r>
              <w:rPr>
                <w:rFonts w:ascii="Arial" w:hAnsi="Arial"/>
                <w:sz w:val="16"/>
              </w:rPr>
              <w:t>Pylon</w:t>
            </w:r>
          </w:p>
        </w:tc>
        <w:tc>
          <w:tcPr>
            <w:tcW w:type="dxa" w:w="1456"/>
          </w:tcPr>
          <w:p>
            <w:pPr>
              <w:spacing w:after="20"/>
            </w:pPr>
            <w:r/>
            <w:r>
              <w:rPr>
                <w:rFonts w:ascii="Arial" w:hAnsi="Arial"/>
                <w:sz w:val="16"/>
              </w:rPr>
              <w:t>6061-T6 aluminium</w:t>
            </w:r>
          </w:p>
        </w:tc>
        <w:tc>
          <w:tcPr>
            <w:tcW w:type="dxa" w:w="1055"/>
          </w:tcPr>
          <w:p>
            <w:pPr>
              <w:spacing w:after="20"/>
            </w:pPr>
            <w:r/>
            <w:r>
              <w:rPr>
                <w:rFonts w:ascii="Arial" w:hAnsi="Arial"/>
                <w:sz w:val="16"/>
              </w:rPr>
              <w:t>276 MPa</w:t>
            </w:r>
          </w:p>
        </w:tc>
        <w:tc>
          <w:tcPr>
            <w:tcW w:type="dxa" w:w="954"/>
          </w:tcPr>
          <w:p>
            <w:pPr>
              <w:spacing w:after="20"/>
            </w:pPr>
            <w:r/>
            <w:r>
              <w:rPr>
                <w:rFonts w:ascii="Arial" w:hAnsi="Arial"/>
                <w:sz w:val="16"/>
              </w:rPr>
              <w:t>76.4 MPa</w:t>
            </w:r>
          </w:p>
        </w:tc>
        <w:tc>
          <w:tcPr>
            <w:tcW w:type="dxa" w:w="422"/>
          </w:tcPr>
          <w:p>
            <w:pPr>
              <w:spacing w:after="20"/>
            </w:pPr>
            <w:r/>
            <w:r>
              <w:rPr>
                <w:rFonts w:ascii="Arial" w:hAnsi="Arial"/>
                <w:b/>
                <w:sz w:val="16"/>
              </w:rPr>
              <w:t>3.6</w:t>
            </w:r>
          </w:p>
        </w:tc>
        <w:tc>
          <w:tcPr>
            <w:tcW w:type="dxa" w:w="4720"/>
          </w:tcPr>
          <w:p>
            <w:pPr>
              <w:spacing w:after="20"/>
            </w:pPr>
            <w:r/>
            <w:r>
              <w:rPr>
                <w:rFonts w:ascii="Arial" w:hAnsi="Arial"/>
                <w:sz w:val="16"/>
              </w:rPr>
              <w:t>Adequate for walking. Aluminium has no true fatigue endurance limit, so ISO 10328 cyclic qualification over millions of cycles governs, not the static number [3].</w:t>
            </w:r>
          </w:p>
        </w:tc>
      </w:tr>
      <w:tr>
        <w:tc>
          <w:tcPr>
            <w:tcW w:type="dxa" w:w="1185"/>
          </w:tcPr>
          <w:p>
            <w:pPr>
              <w:spacing w:after="20"/>
            </w:pPr>
            <w:r/>
            <w:r>
              <w:rPr>
                <w:rFonts w:ascii="Arial" w:hAnsi="Arial"/>
                <w:sz w:val="16"/>
              </w:rPr>
              <w:t>Pylon (alt.)</w:t>
            </w:r>
          </w:p>
        </w:tc>
        <w:tc>
          <w:tcPr>
            <w:tcW w:type="dxa" w:w="1456"/>
          </w:tcPr>
          <w:p>
            <w:pPr>
              <w:spacing w:after="20"/>
            </w:pPr>
            <w:r/>
            <w:r>
              <w:rPr>
                <w:rFonts w:ascii="Arial" w:hAnsi="Arial"/>
                <w:sz w:val="16"/>
              </w:rPr>
              <w:t>Ti-6Al-4V</w:t>
            </w:r>
          </w:p>
        </w:tc>
        <w:tc>
          <w:tcPr>
            <w:tcW w:type="dxa" w:w="1055"/>
          </w:tcPr>
          <w:p>
            <w:pPr>
              <w:spacing w:after="20"/>
            </w:pPr>
            <w:r/>
            <w:r>
              <w:rPr>
                <w:rFonts w:ascii="Arial" w:hAnsi="Arial"/>
                <w:sz w:val="16"/>
              </w:rPr>
              <w:t>880 MPa</w:t>
            </w:r>
          </w:p>
        </w:tc>
        <w:tc>
          <w:tcPr>
            <w:tcW w:type="dxa" w:w="954"/>
          </w:tcPr>
          <w:p>
            <w:pPr>
              <w:spacing w:after="20"/>
            </w:pPr>
            <w:r/>
            <w:r>
              <w:rPr>
                <w:rFonts w:ascii="Arial" w:hAnsi="Arial"/>
                <w:sz w:val="16"/>
              </w:rPr>
              <w:t>76.4 MPa</w:t>
            </w:r>
          </w:p>
        </w:tc>
        <w:tc>
          <w:tcPr>
            <w:tcW w:type="dxa" w:w="422"/>
          </w:tcPr>
          <w:p>
            <w:pPr>
              <w:spacing w:after="20"/>
            </w:pPr>
            <w:r/>
            <w:r>
              <w:rPr>
                <w:rFonts w:ascii="Arial" w:hAnsi="Arial"/>
                <w:sz w:val="16"/>
              </w:rPr>
              <w:t>11.5</w:t>
            </w:r>
          </w:p>
        </w:tc>
        <w:tc>
          <w:tcPr>
            <w:tcW w:type="dxa" w:w="4720"/>
          </w:tcPr>
          <w:p>
            <w:pPr>
              <w:spacing w:after="20"/>
            </w:pPr>
            <w:r/>
            <w:r>
              <w:rPr>
                <w:rFonts w:ascii="Arial" w:hAnsi="Arial"/>
                <w:sz w:val="16"/>
              </w:rPr>
              <w:t>Large static margin and superior fatigue behaviour; 64% denser, so mass penalty is doubled bilaterally. Selected only if Part B loading applies.</w:t>
            </w:r>
          </w:p>
        </w:tc>
      </w:tr>
      <w:tr>
        <w:tc>
          <w:tcPr>
            <w:tcW w:type="dxa" w:w="1185"/>
          </w:tcPr>
          <w:p>
            <w:pPr>
              <w:spacing w:after="20"/>
            </w:pPr>
            <w:r/>
            <w:r>
              <w:rPr>
                <w:rFonts w:ascii="Arial" w:hAnsi="Arial"/>
                <w:sz w:val="16"/>
              </w:rPr>
              <w:t>Forefoot keel</w:t>
            </w:r>
          </w:p>
        </w:tc>
        <w:tc>
          <w:tcPr>
            <w:tcW w:type="dxa" w:w="1456"/>
          </w:tcPr>
          <w:p>
            <w:pPr>
              <w:spacing w:after="20"/>
            </w:pPr>
            <w:r/>
            <w:r>
              <w:rPr>
                <w:rFonts w:ascii="Arial" w:hAnsi="Arial"/>
                <w:sz w:val="16"/>
              </w:rPr>
              <w:t>Unidirectional carbon/epoxy</w:t>
            </w:r>
          </w:p>
        </w:tc>
        <w:tc>
          <w:tcPr>
            <w:tcW w:type="dxa" w:w="1055"/>
          </w:tcPr>
          <w:p>
            <w:pPr>
              <w:spacing w:after="20"/>
            </w:pPr>
            <w:r/>
            <w:r>
              <w:rPr>
                <w:rFonts w:ascii="Arial" w:hAnsi="Arial"/>
                <w:sz w:val="16"/>
              </w:rPr>
              <w:t>≈ 700 MPa flexural</w:t>
            </w:r>
          </w:p>
        </w:tc>
        <w:tc>
          <w:tcPr>
            <w:tcW w:type="dxa" w:w="954"/>
          </w:tcPr>
          <w:p>
            <w:pPr>
              <w:spacing w:after="20"/>
            </w:pPr>
            <w:r/>
            <w:r>
              <w:rPr>
                <w:rFonts w:ascii="Arial" w:hAnsi="Arial"/>
                <w:sz w:val="16"/>
              </w:rPr>
              <w:t>349 MPa</w:t>
            </w:r>
          </w:p>
        </w:tc>
        <w:tc>
          <w:tcPr>
            <w:tcW w:type="dxa" w:w="422"/>
          </w:tcPr>
          <w:p>
            <w:pPr>
              <w:spacing w:after="20"/>
            </w:pPr>
            <w:r/>
            <w:r>
              <w:rPr>
                <w:rFonts w:ascii="Arial" w:hAnsi="Arial"/>
                <w:sz w:val="16"/>
              </w:rPr>
              <w:t>2.0</w:t>
            </w:r>
          </w:p>
        </w:tc>
        <w:tc>
          <w:tcPr>
            <w:tcW w:type="dxa" w:w="4720"/>
          </w:tcPr>
          <w:p>
            <w:pPr>
              <w:spacing w:after="20"/>
            </w:pPr>
            <w:r/>
            <w:r>
              <w:rPr>
                <w:rFonts w:ascii="Arial" w:hAnsi="Arial"/>
                <w:sz w:val="16"/>
              </w:rPr>
              <w:t>High specific stiffness and excellent fatigue behaviour make it the only practical energy-return material.</w:t>
            </w:r>
          </w:p>
        </w:tc>
      </w:tr>
      <w:tr>
        <w:tc>
          <w:tcPr>
            <w:tcW w:type="dxa" w:w="1185"/>
          </w:tcPr>
          <w:p>
            <w:pPr>
              <w:spacing w:after="20"/>
            </w:pPr>
            <w:r/>
            <w:r>
              <w:rPr>
                <w:rFonts w:ascii="Arial" w:hAnsi="Arial"/>
                <w:sz w:val="16"/>
              </w:rPr>
              <w:t>Socket</w:t>
            </w:r>
          </w:p>
        </w:tc>
        <w:tc>
          <w:tcPr>
            <w:tcW w:type="dxa" w:w="1456"/>
          </w:tcPr>
          <w:p>
            <w:pPr>
              <w:spacing w:after="20"/>
            </w:pPr>
            <w:r/>
            <w:r>
              <w:rPr>
                <w:rFonts w:ascii="Arial" w:hAnsi="Arial"/>
                <w:sz w:val="16"/>
              </w:rPr>
              <w:t>Carbon/epoxy laminate</w:t>
            </w:r>
          </w:p>
        </w:tc>
        <w:tc>
          <w:tcPr>
            <w:tcW w:type="dxa" w:w="1055"/>
          </w:tcPr>
          <w:p>
            <w:pPr>
              <w:spacing w:after="20"/>
            </w:pPr>
            <w:r/>
            <w:r>
              <w:rPr>
                <w:rFonts w:ascii="Arial" w:hAnsi="Arial"/>
                <w:sz w:val="16"/>
              </w:rPr>
              <w:t>≈ 600 MPa</w:t>
            </w:r>
          </w:p>
        </w:tc>
        <w:tc>
          <w:tcPr>
            <w:tcW w:type="dxa" w:w="954"/>
          </w:tcPr>
          <w:p>
            <w:pPr>
              <w:spacing w:after="20"/>
            </w:pPr>
            <w:r/>
            <w:r>
              <w:rPr>
                <w:rFonts w:ascii="Arial" w:hAnsi="Arial"/>
                <w:sz w:val="16"/>
              </w:rPr>
              <w:t>Distributed</w:t>
            </w:r>
          </w:p>
        </w:tc>
        <w:tc>
          <w:tcPr>
            <w:tcW w:type="dxa" w:w="422"/>
          </w:tcPr>
          <w:p>
            <w:pPr>
              <w:spacing w:after="20"/>
            </w:pPr>
            <w:r/>
            <w:r>
              <w:rPr>
                <w:rFonts w:ascii="Arial" w:hAnsi="Arial"/>
                <w:sz w:val="16"/>
              </w:rPr>
              <w:t>—</w:t>
            </w:r>
          </w:p>
        </w:tc>
        <w:tc>
          <w:tcPr>
            <w:tcW w:type="dxa" w:w="4720"/>
          </w:tcPr>
          <w:p>
            <w:pPr>
              <w:spacing w:after="20"/>
            </w:pPr>
            <w:r/>
            <w:r>
              <w:rPr>
                <w:rFonts w:ascii="Arial" w:hAnsi="Arial"/>
                <w:sz w:val="16"/>
              </w:rPr>
              <w:t>Stiffness governs, not strength; the design driver is pressure distribution over the residual limb, not fracture.</w:t>
            </w:r>
          </w:p>
        </w:tc>
      </w:tr>
      <w:tr>
        <w:tc>
          <w:tcPr>
            <w:tcW w:type="dxa" w:w="1185"/>
          </w:tcPr>
          <w:p>
            <w:pPr>
              <w:spacing w:after="20"/>
            </w:pPr>
            <w:r/>
            <w:r>
              <w:rPr>
                <w:rFonts w:ascii="Arial" w:hAnsi="Arial"/>
                <w:sz w:val="16"/>
              </w:rPr>
              <w:t>Liner</w:t>
            </w:r>
          </w:p>
        </w:tc>
        <w:tc>
          <w:tcPr>
            <w:tcW w:type="dxa" w:w="1456"/>
          </w:tcPr>
          <w:p>
            <w:pPr>
              <w:spacing w:after="20"/>
            </w:pPr>
            <w:r/>
            <w:r>
              <w:rPr>
                <w:rFonts w:ascii="Arial" w:hAnsi="Arial"/>
                <w:sz w:val="16"/>
              </w:rPr>
              <w:t>Medical-grade silicone</w:t>
            </w:r>
          </w:p>
        </w:tc>
        <w:tc>
          <w:tcPr>
            <w:tcW w:type="dxa" w:w="1055"/>
          </w:tcPr>
          <w:p>
            <w:pPr>
              <w:spacing w:after="20"/>
            </w:pPr>
            <w:r/>
            <w:r>
              <w:rPr>
                <w:rFonts w:ascii="Arial" w:hAnsi="Arial"/>
                <w:sz w:val="16"/>
              </w:rPr>
              <w:t>—</w:t>
            </w:r>
          </w:p>
        </w:tc>
        <w:tc>
          <w:tcPr>
            <w:tcW w:type="dxa" w:w="954"/>
          </w:tcPr>
          <w:p>
            <w:pPr>
              <w:spacing w:after="20"/>
            </w:pPr>
            <w:r/>
            <w:r>
              <w:rPr>
                <w:rFonts w:ascii="Arial" w:hAnsi="Arial"/>
                <w:sz w:val="16"/>
              </w:rPr>
              <w:t>≤ 30 kPa interface</w:t>
            </w:r>
          </w:p>
        </w:tc>
        <w:tc>
          <w:tcPr>
            <w:tcW w:type="dxa" w:w="422"/>
          </w:tcPr>
          <w:p>
            <w:pPr>
              <w:spacing w:after="20"/>
            </w:pPr>
            <w:r/>
            <w:r>
              <w:rPr>
                <w:rFonts w:ascii="Arial" w:hAnsi="Arial"/>
                <w:sz w:val="16"/>
              </w:rPr>
              <w:t>—</w:t>
            </w:r>
          </w:p>
        </w:tc>
        <w:tc>
          <w:tcPr>
            <w:tcW w:type="dxa" w:w="4720"/>
          </w:tcPr>
          <w:p>
            <w:pPr>
              <w:spacing w:after="20"/>
            </w:pPr>
            <w:r/>
            <w:r>
              <w:rPr>
                <w:rFonts w:ascii="Arial" w:hAnsi="Arial"/>
                <w:sz w:val="16"/>
              </w:rPr>
              <w:t>Pressure redistribution and shear management over bony prominences; directly addresses the pressure problems noted in the module [2].</w:t>
            </w:r>
          </w:p>
        </w:tc>
      </w:tr>
      <w:tr>
        <w:tc>
          <w:tcPr>
            <w:tcW w:type="dxa" w:w="1185"/>
          </w:tcPr>
          <w:p>
            <w:pPr>
              <w:spacing w:after="20"/>
            </w:pPr>
            <w:r/>
            <w:r>
              <w:rPr>
                <w:rFonts w:ascii="Arial" w:hAnsi="Arial"/>
                <w:sz w:val="16"/>
              </w:rPr>
              <w:t>Ankle bushing</w:t>
            </w:r>
          </w:p>
        </w:tc>
        <w:tc>
          <w:tcPr>
            <w:tcW w:type="dxa" w:w="1456"/>
          </w:tcPr>
          <w:p>
            <w:pPr>
              <w:spacing w:after="20"/>
            </w:pPr>
            <w:r/>
            <w:r>
              <w:rPr>
                <w:rFonts w:ascii="Arial" w:hAnsi="Arial"/>
                <w:sz w:val="16"/>
              </w:rPr>
              <w:t>Polyurethane elastomer</w:t>
            </w:r>
          </w:p>
        </w:tc>
        <w:tc>
          <w:tcPr>
            <w:tcW w:type="dxa" w:w="1055"/>
          </w:tcPr>
          <w:p>
            <w:pPr>
              <w:spacing w:after="20"/>
            </w:pPr>
            <w:r/>
            <w:r>
              <w:rPr>
                <w:rFonts w:ascii="Arial" w:hAnsi="Arial"/>
                <w:sz w:val="16"/>
              </w:rPr>
              <w:t>Shore 80–95A</w:t>
            </w:r>
          </w:p>
        </w:tc>
        <w:tc>
          <w:tcPr>
            <w:tcW w:type="dxa" w:w="954"/>
          </w:tcPr>
          <w:p>
            <w:pPr>
              <w:spacing w:after="20"/>
            </w:pPr>
            <w:r/>
            <w:r>
              <w:rPr>
                <w:rFonts w:ascii="Arial" w:hAnsi="Arial"/>
                <w:sz w:val="16"/>
              </w:rPr>
              <w:t>—</w:t>
            </w:r>
          </w:p>
        </w:tc>
        <w:tc>
          <w:tcPr>
            <w:tcW w:type="dxa" w:w="422"/>
          </w:tcPr>
          <w:p>
            <w:pPr>
              <w:spacing w:after="20"/>
            </w:pPr>
            <w:r/>
            <w:r>
              <w:rPr>
                <w:rFonts w:ascii="Arial" w:hAnsi="Arial"/>
                <w:sz w:val="16"/>
              </w:rPr>
              <w:t>—</w:t>
            </w:r>
          </w:p>
        </w:tc>
        <w:tc>
          <w:tcPr>
            <w:tcW w:type="dxa" w:w="4720"/>
          </w:tcPr>
          <w:p>
            <w:pPr>
              <w:spacing w:after="20"/>
            </w:pPr>
            <w:r/>
            <w:r>
              <w:rPr>
                <w:rFonts w:ascii="Arial" w:hAnsi="Arial"/>
                <w:sz w:val="16"/>
              </w:rPr>
              <w:t>Durometer sets the ±6° compliance of §2.2; selected against operating temperature.</w:t>
            </w:r>
          </w:p>
        </w:tc>
      </w:tr>
    </w:tbl>
    <w:p>
      <w:pPr>
        <w:spacing w:after="100"/>
        <w:jc w:val="both"/>
      </w:pPr>
      <w:r>
        <w:rPr>
          <w:rFonts w:ascii="Arial" w:hAnsi="Arial"/>
        </w:rPr>
        <w:t xml:space="preserve">Qualification would follow </w:t>
      </w:r>
      <w:r>
        <w:rPr>
          <w:rFonts w:ascii="Arial" w:hAnsi="Arial"/>
          <w:b/>
        </w:rPr>
        <w:t>ISO 10328</w:t>
      </w:r>
      <w:r>
        <w:rPr>
          <w:rFonts w:ascii="Arial" w:hAnsi="Arial"/>
        </w:rPr>
        <w:t xml:space="preserve"> for the structural assembly — static proof and ultimate tests representing worst-case loading, plus cyclic testing representing normal walking — and </w:t>
      </w:r>
      <w:r>
        <w:rPr>
          <w:rFonts w:ascii="Arial" w:hAnsi="Arial"/>
          <w:b/>
        </w:rPr>
        <w:t>ISO 22675</w:t>
      </w:r>
      <w:r>
        <w:rPr>
          <w:rFonts w:ascii="Arial" w:hAnsi="Arial"/>
        </w:rPr>
        <w:t xml:space="preserve"> for the ankle-foot device specifically [3], [8].</w:t>
      </w:r>
    </w:p>
    <w:p>
      <w:pPr>
        <w:keepNext/>
        <w:spacing w:before="200" w:after="60"/>
      </w:pPr>
      <w:r>
        <w:rPr>
          <w:rFonts w:ascii="Arial" w:hAnsi="Arial"/>
          <w:b/>
          <w:color w:val="1F3B73"/>
          <w:sz w:val="23"/>
        </w:rPr>
        <w:t>3.  Part B — Adapting the Design for Snowboarding</w:t>
      </w:r>
    </w:p>
    <w:p>
      <w:pPr>
        <w:spacing w:after="100"/>
        <w:jc w:val="both"/>
      </w:pPr>
      <w:r>
        <w:rPr>
          <w:rFonts w:ascii="Arial" w:hAnsi="Arial"/>
        </w:rPr>
        <w:t xml:space="preserve">Snowboarding is selected because it loads the prosthesis in a plane the walking design barely sees. Walking is an essentially sagittal, cyclic, low-amplitude activity. A carved turn is a </w:t>
      </w:r>
      <w:r>
        <w:rPr>
          <w:rFonts w:ascii="Arial" w:hAnsi="Arial"/>
          <w:b/>
        </w:rPr>
        <w:t>sustained frontal-plane</w:t>
      </w:r>
      <w:r>
        <w:rPr>
          <w:rFonts w:ascii="Arial" w:hAnsi="Arial"/>
        </w:rPr>
        <w:t xml:space="preserve"> event, and landing is a high-magnitude transient. These are different design problems, not a scaled version of the same one.</w:t>
      </w:r>
    </w:p>
    <w:p>
      <w:pPr>
        <w:keepNext/>
        <w:spacing w:before="140" w:after="60"/>
      </w:pPr>
      <w:r>
        <w:rPr>
          <w:rFonts w:ascii="Arial" w:hAnsi="Arial"/>
          <w:b/>
          <w:color w:val="1F3B73"/>
          <w:sz w:val="21"/>
        </w:rPr>
        <w:t>3.1  Carved-Turn Analysis</w:t>
      </w:r>
    </w:p>
    <w:p>
      <w:pPr>
        <w:spacing w:after="100"/>
        <w:jc w:val="both"/>
      </w:pPr>
      <w:r>
        <w:rPr>
          <w:rFonts w:ascii="Arial" w:hAnsi="Arial"/>
        </w:rPr>
        <w:t xml:space="preserve">In a steady carved turn the rider is in equilibrium under gravity and the centripetal force required by the turn radius. For a representative turn at </w:t>
      </w:r>
      <w:r>
        <w:rPr>
          <w:rFonts w:ascii="Arial" w:hAnsi="Arial"/>
          <w:i/>
        </w:rPr>
        <w:t>v</w:t>
      </w:r>
      <w:r>
        <w:rPr>
          <w:rFonts w:ascii="Arial" w:hAnsi="Arial"/>
        </w:rPr>
        <w:t xml:space="preserve"> = 12 m/s (43 km/h) and radius </w:t>
      </w:r>
      <w:r>
        <w:rPr>
          <w:rFonts w:ascii="Arial" w:hAnsi="Arial"/>
          <w:i/>
        </w:rPr>
        <w:t>r</w:t>
      </w:r>
      <w:r>
        <w:rPr>
          <w:rFonts w:ascii="Arial" w:hAnsi="Arial"/>
        </w:rPr>
        <w:t xml:space="preserve"> = 15 m:</w:t>
      </w:r>
    </w:p>
    <w:p>
      <w:pPr>
        <w:spacing w:before="60" w:after="100"/>
        <w:jc w:val="center"/>
      </w:pPr>
      <w:r>
        <w:rPr>
          <w:rFonts w:ascii="Arial" w:hAnsi="Arial"/>
          <w:i/>
          <w:sz w:val="21"/>
        </w:rPr>
        <w:t>ac = v²/r = 12²/15 = 9.6 m/s²        Fc = m ac = 60 (9.6) = 576 N</w:t>
      </w:r>
    </w:p>
    <w:p>
      <w:pPr>
        <w:spacing w:before="60" w:after="100"/>
        <w:jc w:val="center"/>
      </w:pPr>
      <w:r>
        <w:rPr>
          <w:rFonts w:ascii="Arial" w:hAnsi="Arial"/>
          <w:i/>
          <w:sz w:val="21"/>
        </w:rPr>
        <w:t>R = √((mg)² + Fc²) = √(588.6² + 576²) = 824 N = 1.40 BW</w:t>
      </w:r>
    </w:p>
    <w:p>
      <w:pPr>
        <w:spacing w:before="60" w:after="100"/>
        <w:jc w:val="center"/>
      </w:pPr>
      <w:r>
        <w:rPr>
          <w:rFonts w:ascii="Arial" w:hAnsi="Arial"/>
          <w:i/>
          <w:sz w:val="21"/>
        </w:rPr>
        <w:t>θ = arctan(ac /g) = arctan(9.6/9.81) = 44.4° from vertical</w:t>
      </w:r>
    </w:p>
    <w:p>
      <w:pPr>
        <w:keepNext/>
        <w:spacing w:before="120"/>
        <w:jc w:val="center"/>
      </w:pPr>
      <w:r>
        <w:drawing>
          <wp:inline xmlns:a="http://schemas.openxmlformats.org/drawingml/2006/main" xmlns:pic="http://schemas.openxmlformats.org/drawingml/2006/picture">
            <wp:extent cx="5760720" cy="2598147"/>
            <wp:docPr id="4" name="Picture 4"/>
            <wp:cNvGraphicFramePr>
              <a:graphicFrameLocks noChangeAspect="1"/>
            </wp:cNvGraphicFramePr>
            <a:graphic>
              <a:graphicData uri="http://schemas.openxmlformats.org/drawingml/2006/picture">
                <pic:pic>
                  <pic:nvPicPr>
                    <pic:cNvPr id="0" name="fig4_snowfbd.png"/>
                    <pic:cNvPicPr/>
                  </pic:nvPicPr>
                  <pic:blipFill>
                    <a:blip r:embed="rId12"/>
                    <a:stretch>
                      <a:fillRect/>
                    </a:stretch>
                  </pic:blipFill>
                  <pic:spPr>
                    <a:xfrm>
                      <a:off x="0" y="0"/>
                      <a:ext cx="5760720" cy="2598147"/>
                    </a:xfrm>
                    <a:prstGeom prst="rect"/>
                  </pic:spPr>
                </pic:pic>
              </a:graphicData>
            </a:graphic>
          </wp:inline>
        </w:drawing>
      </w:r>
    </w:p>
    <w:p>
      <w:pPr>
        <w:spacing w:after="180"/>
        <w:jc w:val="center"/>
      </w:pPr>
      <w:r>
        <w:rPr>
          <w:rFonts w:ascii="Arial" w:hAnsi="Arial"/>
          <w:b/>
          <w:sz w:val="17"/>
        </w:rPr>
        <w:t>Figure 4.</w:t>
      </w:r>
      <w:r>
        <w:rPr>
          <w:rFonts w:ascii="Arial" w:hAnsi="Arial"/>
          <w:sz w:val="17"/>
        </w:rPr>
        <w:t xml:space="preserve"> (a) Whole-body force balance in a steady carved turn. (b) Frontal-plane free-body diagram at the prosthetic ankle.</w:t>
      </w:r>
    </w:p>
    <w:p>
      <w:pPr>
        <w:spacing w:after="100"/>
        <w:jc w:val="both"/>
      </w:pPr>
      <w:r>
        <w:rPr>
          <w:rFonts w:ascii="Arial" w:hAnsi="Arial"/>
        </w:rPr>
        <w:t xml:space="preserve">The resultant is only 1.40 BW — modest against the 6 BW landing case below — but it acts </w:t>
      </w:r>
      <w:r>
        <w:rPr>
          <w:rFonts w:ascii="Arial" w:hAnsi="Arial"/>
          <w:b/>
        </w:rPr>
        <w:t>continuously through the turn and in the frontal plane</w:t>
      </w:r>
      <w:r>
        <w:rPr>
          <w:rFonts w:ascii="Arial" w:hAnsi="Arial"/>
        </w:rPr>
        <w:t xml:space="preserve">. With the ankle offset </w:t>
      </w:r>
      <w:r>
        <w:rPr>
          <w:rFonts w:ascii="Arial" w:hAnsi="Arial"/>
          <w:i/>
        </w:rPr>
        <w:t>e</w:t>
      </w:r>
      <w:r>
        <w:rPr>
          <w:rFonts w:ascii="Arial" w:hAnsi="Arial"/>
        </w:rPr>
        <w:t xml:space="preserve"> = 0.13 m from the engaged edge (half the board width), and conservatively assuming the prosthetic ankle and pylon react the full moment rather than sharing it with the boot cuff and binding highback:</w:t>
      </w:r>
    </w:p>
    <w:p>
      <w:pPr>
        <w:spacing w:before="60" w:after="100"/>
        <w:jc w:val="center"/>
      </w:pPr>
      <w:r>
        <w:rPr>
          <w:rFonts w:ascii="Arial" w:hAnsi="Arial"/>
          <w:i/>
          <w:sz w:val="21"/>
        </w:rPr>
        <w:t>Mc = R e = 824 (0.13) = 107 N·m        σ = Mc /Z + R/A = 92.6 + 4.7 = 97.4 MPa   (SF 2.8 on 6061-T6)</w:t>
      </w:r>
    </w:p>
    <w:p>
      <w:pPr>
        <w:keepNext/>
        <w:spacing w:before="140" w:after="60"/>
      </w:pPr>
      <w:r>
        <w:rPr>
          <w:rFonts w:ascii="Arial" w:hAnsi="Arial"/>
          <w:b/>
          <w:color w:val="1F3B73"/>
          <w:sz w:val="21"/>
        </w:rPr>
        <w:t>3.2  Landing Case</w:t>
      </w:r>
    </w:p>
    <w:p>
      <w:pPr>
        <w:spacing w:after="100"/>
        <w:jc w:val="both"/>
      </w:pPr>
      <w:r>
        <w:rPr>
          <w:rFonts w:ascii="Arial" w:hAnsi="Arial"/>
        </w:rPr>
        <w:t>The governing structural case is landing. Taking a 0.5 m drop decelerated over 0.10 m of combined limb and suspension travel:</w:t>
      </w:r>
    </w:p>
    <w:p>
      <w:pPr>
        <w:spacing w:before="60" w:after="100"/>
        <w:jc w:val="center"/>
      </w:pPr>
      <w:r>
        <w:rPr>
          <w:rFonts w:ascii="Arial" w:hAnsi="Arial"/>
          <w:i/>
          <w:sz w:val="21"/>
        </w:rPr>
        <w:t>v = √(2gh) = 3.13 m/s        a = v²/2s = 49.0 m/s²        F = m(g + a) = 3,532 N = 6.0 BW</w:t>
      </w:r>
    </w:p>
    <w:p>
      <w:pPr>
        <w:spacing w:after="100"/>
        <w:jc w:val="both"/>
      </w:pPr>
      <w:r>
        <w:rPr>
          <w:rFonts w:ascii="Arial" w:hAnsi="Arial"/>
        </w:rPr>
        <w:t xml:space="preserve">Applied at the same 0.13 m offset this produces </w:t>
      </w:r>
      <w:r>
        <w:rPr>
          <w:rFonts w:ascii="Arial" w:hAnsi="Arial"/>
          <w:i/>
        </w:rPr>
        <w:t>M</w:t>
      </w:r>
      <w:r>
        <w:rPr>
          <w:rFonts w:ascii="Arial" w:hAnsi="Arial"/>
        </w:rPr>
        <w:t xml:space="preserve"> = 459 N·m and a pylon stress of </w:t>
      </w:r>
      <w:r>
        <w:rPr>
          <w:rFonts w:ascii="Arial" w:hAnsi="Arial"/>
          <w:b/>
        </w:rPr>
        <w:t>417 MPa</w:t>
      </w:r>
      <w:r>
        <w:rPr>
          <w:rFonts w:ascii="Arial" w:hAnsi="Arial"/>
        </w:rPr>
        <w:t xml:space="preserve">. Against 6061-T6 at 276 MPa the safety factor is </w:t>
      </w:r>
      <w:r>
        <w:rPr>
          <w:rFonts w:ascii="Arial" w:hAnsi="Arial"/>
          <w:b/>
        </w:rPr>
        <w:t>0.66 — the aluminium pylon yields</w:t>
      </w:r>
      <w:r>
        <w:rPr>
          <w:rFonts w:ascii="Arial" w:hAnsi="Arial"/>
        </w:rPr>
        <w:t xml:space="preserve">. This single calculation is the decisive result of Part B: the walking design is not merely under-optimised for snowboarding, it is </w:t>
      </w:r>
      <w:r>
        <w:rPr>
          <w:rFonts w:ascii="Arial" w:hAnsi="Arial"/>
          <w:b/>
        </w:rPr>
        <w:t>structurally inadequate</w:t>
      </w:r>
      <w:r>
        <w:rPr>
          <w:rFonts w:ascii="Arial" w:hAnsi="Arial"/>
        </w:rPr>
        <w:t>. Switching to Ti-6Al-4V restores a safety factor of 2.1; upsizing the aluminium section to 34 mm × 3 mm reaches only 1.19, which is insufficient margin for an impact load with this much scatter.</w:t>
      </w:r>
    </w:p>
    <w:p>
      <w:pPr>
        <w:keepNext/>
        <w:spacing w:before="140" w:after="60"/>
      </w:pPr>
      <w:r>
        <w:rPr>
          <w:rFonts w:ascii="Arial" w:hAnsi="Arial"/>
          <w:b/>
          <w:color w:val="1F3B73"/>
          <w:sz w:val="21"/>
        </w:rPr>
        <w:t>3.3  Comparison of Demands</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1694"/>
        <w:gridCol w:w="1569"/>
        <w:gridCol w:w="2573"/>
        <w:gridCol w:w="3954"/>
      </w:tblGrid>
      <w:tr>
        <w:trPr>
          <w:tblHeader w:val="true"/>
        </w:trPr>
        <w:tc>
          <w:tcPr>
            <w:tcW w:type="dxa" w:w="1695"/>
            <w:shd w:val="clear" w:fill="E8EAED"/>
          </w:tcPr>
          <w:p>
            <w:pPr>
              <w:spacing w:after="20"/>
            </w:pPr>
            <w:r/>
            <w:r>
              <w:rPr>
                <w:rFonts w:ascii="Arial" w:hAnsi="Arial"/>
                <w:b/>
                <w:sz w:val="16"/>
              </w:rPr>
              <w:t>Design parameter</w:t>
            </w:r>
          </w:p>
        </w:tc>
        <w:tc>
          <w:tcPr>
            <w:tcW w:type="dxa" w:w="1569"/>
            <w:shd w:val="clear" w:fill="E8EAED"/>
          </w:tcPr>
          <w:p>
            <w:pPr>
              <w:spacing w:after="20"/>
            </w:pPr>
            <w:r/>
            <w:r>
              <w:rPr>
                <w:rFonts w:ascii="Arial" w:hAnsi="Arial"/>
                <w:b/>
                <w:sz w:val="16"/>
              </w:rPr>
              <w:t>Level walking</w:t>
            </w:r>
          </w:p>
        </w:tc>
        <w:tc>
          <w:tcPr>
            <w:tcW w:type="dxa" w:w="2574"/>
            <w:shd w:val="clear" w:fill="E8EAED"/>
          </w:tcPr>
          <w:p>
            <w:pPr>
              <w:spacing w:after="20"/>
            </w:pPr>
            <w:r/>
            <w:r>
              <w:rPr>
                <w:rFonts w:ascii="Arial" w:hAnsi="Arial"/>
                <w:b/>
                <w:sz w:val="16"/>
              </w:rPr>
              <w:t>Snowboarding</w:t>
            </w:r>
          </w:p>
        </w:tc>
        <w:tc>
          <w:tcPr>
            <w:tcW w:type="dxa" w:w="3954"/>
            <w:shd w:val="clear" w:fill="E8EAED"/>
          </w:tcPr>
          <w:p>
            <w:pPr>
              <w:spacing w:after="20"/>
            </w:pPr>
            <w:r/>
            <w:r>
              <w:rPr>
                <w:rFonts w:ascii="Arial" w:hAnsi="Arial"/>
                <w:b/>
                <w:sz w:val="16"/>
              </w:rPr>
              <w:t>Consequence for the design</w:t>
            </w:r>
          </w:p>
        </w:tc>
      </w:tr>
      <w:tr>
        <w:tc>
          <w:tcPr>
            <w:tcW w:type="dxa" w:w="1695"/>
          </w:tcPr>
          <w:p>
            <w:pPr>
              <w:spacing w:after="20"/>
            </w:pPr>
            <w:r/>
            <w:r>
              <w:rPr>
                <w:rFonts w:ascii="Arial" w:hAnsi="Arial"/>
                <w:sz w:val="16"/>
              </w:rPr>
              <w:t>Peak resultant force</w:t>
            </w:r>
          </w:p>
        </w:tc>
        <w:tc>
          <w:tcPr>
            <w:tcW w:type="dxa" w:w="1569"/>
          </w:tcPr>
          <w:p>
            <w:pPr>
              <w:spacing w:after="20"/>
            </w:pPr>
            <w:r/>
            <w:r>
              <w:rPr>
                <w:rFonts w:ascii="Arial" w:hAnsi="Arial"/>
                <w:sz w:val="16"/>
              </w:rPr>
              <w:t>716 N (1.22 BW)</w:t>
            </w:r>
          </w:p>
        </w:tc>
        <w:tc>
          <w:tcPr>
            <w:tcW w:type="dxa" w:w="2574"/>
          </w:tcPr>
          <w:p>
            <w:pPr>
              <w:spacing w:after="20"/>
            </w:pPr>
            <w:r/>
            <w:r>
              <w:rPr>
                <w:rFonts w:ascii="Arial" w:hAnsi="Arial"/>
                <w:sz w:val="16"/>
              </w:rPr>
              <w:t>824 N sustained (1.40 BW); 3,532 N landing (6.0 BW)</w:t>
            </w:r>
          </w:p>
        </w:tc>
        <w:tc>
          <w:tcPr>
            <w:tcW w:type="dxa" w:w="3954"/>
          </w:tcPr>
          <w:p>
            <w:pPr>
              <w:spacing w:after="20"/>
            </w:pPr>
            <w:r/>
            <w:r>
              <w:rPr>
                <w:rFonts w:ascii="Arial" w:hAnsi="Arial"/>
                <w:sz w:val="16"/>
              </w:rPr>
              <w:t>Impact case governs structure, not the steady case</w:t>
            </w:r>
          </w:p>
        </w:tc>
      </w:tr>
      <w:tr>
        <w:tc>
          <w:tcPr>
            <w:tcW w:type="dxa" w:w="1695"/>
          </w:tcPr>
          <w:p>
            <w:pPr>
              <w:spacing w:after="20"/>
            </w:pPr>
            <w:r/>
            <w:r>
              <w:rPr>
                <w:rFonts w:ascii="Arial" w:hAnsi="Arial"/>
                <w:sz w:val="16"/>
              </w:rPr>
              <w:t>Dominant loading plane</w:t>
            </w:r>
          </w:p>
        </w:tc>
        <w:tc>
          <w:tcPr>
            <w:tcW w:type="dxa" w:w="1569"/>
          </w:tcPr>
          <w:p>
            <w:pPr>
              <w:spacing w:after="20"/>
            </w:pPr>
            <w:r/>
            <w:r>
              <w:rPr>
                <w:rFonts w:ascii="Arial" w:hAnsi="Arial"/>
                <w:sz w:val="16"/>
              </w:rPr>
              <w:t>Sagittal</w:t>
            </w:r>
          </w:p>
        </w:tc>
        <w:tc>
          <w:tcPr>
            <w:tcW w:type="dxa" w:w="2574"/>
          </w:tcPr>
          <w:p>
            <w:pPr>
              <w:spacing w:after="20"/>
            </w:pPr>
            <w:r/>
            <w:r>
              <w:rPr>
                <w:rFonts w:ascii="Arial" w:hAnsi="Arial"/>
                <w:sz w:val="16"/>
              </w:rPr>
              <w:t>Frontal, plus sagittal and torsional</w:t>
            </w:r>
          </w:p>
        </w:tc>
        <w:tc>
          <w:tcPr>
            <w:tcW w:type="dxa" w:w="3954"/>
          </w:tcPr>
          <w:p>
            <w:pPr>
              <w:spacing w:after="20"/>
            </w:pPr>
            <w:r/>
            <w:r>
              <w:rPr>
                <w:rFonts w:ascii="Arial" w:hAnsi="Arial"/>
                <w:sz w:val="16"/>
              </w:rPr>
              <w:t>Biaxial bending; pylon can no longer be sized on one plane</w:t>
            </w:r>
          </w:p>
        </w:tc>
      </w:tr>
      <w:tr>
        <w:tc>
          <w:tcPr>
            <w:tcW w:type="dxa" w:w="1695"/>
          </w:tcPr>
          <w:p>
            <w:pPr>
              <w:spacing w:after="20"/>
            </w:pPr>
            <w:r/>
            <w:r>
              <w:rPr>
                <w:rFonts w:ascii="Arial" w:hAnsi="Arial"/>
                <w:sz w:val="16"/>
              </w:rPr>
              <w:t>Peak ankle moment</w:t>
            </w:r>
          </w:p>
        </w:tc>
        <w:tc>
          <w:tcPr>
            <w:tcW w:type="dxa" w:w="1569"/>
          </w:tcPr>
          <w:p>
            <w:pPr>
              <w:spacing w:after="20"/>
            </w:pPr>
            <w:r/>
            <w:r>
              <w:rPr>
                <w:rFonts w:ascii="Arial" w:hAnsi="Arial"/>
                <w:sz w:val="16"/>
              </w:rPr>
              <w:t>83.6 N·m sagittal</w:t>
            </w:r>
          </w:p>
        </w:tc>
        <w:tc>
          <w:tcPr>
            <w:tcW w:type="dxa" w:w="2574"/>
          </w:tcPr>
          <w:p>
            <w:pPr>
              <w:spacing w:after="20"/>
            </w:pPr>
            <w:r/>
            <w:r>
              <w:rPr>
                <w:rFonts w:ascii="Arial" w:hAnsi="Arial"/>
                <w:sz w:val="16"/>
              </w:rPr>
              <w:t>107 N·m frontal; 459 N·m on landing</w:t>
            </w:r>
          </w:p>
        </w:tc>
        <w:tc>
          <w:tcPr>
            <w:tcW w:type="dxa" w:w="3954"/>
          </w:tcPr>
          <w:p>
            <w:pPr>
              <w:spacing w:after="20"/>
            </w:pPr>
            <w:r/>
            <w:r>
              <w:rPr>
                <w:rFonts w:ascii="Arial" w:hAnsi="Arial"/>
                <w:sz w:val="16"/>
              </w:rPr>
              <w:t>Ankle unit must react moments it was never sized for</w:t>
            </w:r>
          </w:p>
        </w:tc>
      </w:tr>
      <w:tr>
        <w:tc>
          <w:tcPr>
            <w:tcW w:type="dxa" w:w="1695"/>
          </w:tcPr>
          <w:p>
            <w:pPr>
              <w:spacing w:after="20"/>
            </w:pPr>
            <w:r/>
            <w:r>
              <w:rPr>
                <w:rFonts w:ascii="Arial" w:hAnsi="Arial"/>
                <w:sz w:val="16"/>
              </w:rPr>
              <w:t>Dorsiflexion required</w:t>
            </w:r>
          </w:p>
        </w:tc>
        <w:tc>
          <w:tcPr>
            <w:tcW w:type="dxa" w:w="1569"/>
          </w:tcPr>
          <w:p>
            <w:pPr>
              <w:spacing w:after="20"/>
            </w:pPr>
            <w:r/>
            <w:r>
              <w:rPr>
                <w:rFonts w:ascii="Arial" w:hAnsi="Arial"/>
                <w:sz w:val="16"/>
              </w:rPr>
              <w:t>≈ 10°</w:t>
            </w:r>
          </w:p>
        </w:tc>
        <w:tc>
          <w:tcPr>
            <w:tcW w:type="dxa" w:w="2574"/>
          </w:tcPr>
          <w:p>
            <w:pPr>
              <w:spacing w:after="20"/>
            </w:pPr>
            <w:r/>
            <w:r>
              <w:rPr>
                <w:rFonts w:ascii="Arial" w:hAnsi="Arial"/>
                <w:sz w:val="16"/>
              </w:rPr>
              <w:t>25–30°, sustained in a flexed stance</w:t>
            </w:r>
          </w:p>
        </w:tc>
        <w:tc>
          <w:tcPr>
            <w:tcW w:type="dxa" w:w="3954"/>
          </w:tcPr>
          <w:p>
            <w:pPr>
              <w:spacing w:after="20"/>
            </w:pPr>
            <w:r/>
            <w:r>
              <w:rPr>
                <w:rFonts w:ascii="Arial" w:hAnsi="Arial"/>
                <w:sz w:val="16"/>
              </w:rPr>
              <w:t>Greater range and a shifted neutral angle</w:t>
            </w:r>
          </w:p>
        </w:tc>
      </w:tr>
      <w:tr>
        <w:tc>
          <w:tcPr>
            <w:tcW w:type="dxa" w:w="1695"/>
          </w:tcPr>
          <w:p>
            <w:pPr>
              <w:spacing w:after="20"/>
            </w:pPr>
            <w:r/>
            <w:r>
              <w:rPr>
                <w:rFonts w:ascii="Arial" w:hAnsi="Arial"/>
                <w:sz w:val="16"/>
              </w:rPr>
              <w:t>Inversion/eversion</w:t>
            </w:r>
          </w:p>
        </w:tc>
        <w:tc>
          <w:tcPr>
            <w:tcW w:type="dxa" w:w="1569"/>
          </w:tcPr>
          <w:p>
            <w:pPr>
              <w:spacing w:after="20"/>
            </w:pPr>
            <w:r/>
            <w:r>
              <w:rPr>
                <w:rFonts w:ascii="Arial" w:hAnsi="Arial"/>
                <w:sz w:val="16"/>
              </w:rPr>
              <w:t>≈ 6° accommodation</w:t>
            </w:r>
          </w:p>
        </w:tc>
        <w:tc>
          <w:tcPr>
            <w:tcW w:type="dxa" w:w="2574"/>
          </w:tcPr>
          <w:p>
            <w:pPr>
              <w:spacing w:after="20"/>
            </w:pPr>
            <w:r/>
            <w:r>
              <w:rPr>
                <w:rFonts w:ascii="Arial" w:hAnsi="Arial"/>
                <w:sz w:val="16"/>
              </w:rPr>
              <w:t>±15°, actively used for edge control</w:t>
            </w:r>
          </w:p>
        </w:tc>
        <w:tc>
          <w:tcPr>
            <w:tcW w:type="dxa" w:w="3954"/>
          </w:tcPr>
          <w:p>
            <w:pPr>
              <w:spacing w:after="20"/>
            </w:pPr>
            <w:r/>
            <w:r>
              <w:rPr>
                <w:rFonts w:ascii="Arial" w:hAnsi="Arial"/>
                <w:sz w:val="16"/>
              </w:rPr>
              <w:t>Compliance is no longer sufficient; range is functional</w:t>
            </w:r>
          </w:p>
        </w:tc>
      </w:tr>
      <w:tr>
        <w:tc>
          <w:tcPr>
            <w:tcW w:type="dxa" w:w="1695"/>
          </w:tcPr>
          <w:p>
            <w:pPr>
              <w:spacing w:after="20"/>
            </w:pPr>
            <w:r/>
            <w:r>
              <w:rPr>
                <w:rFonts w:ascii="Arial" w:hAnsi="Arial"/>
                <w:sz w:val="16"/>
              </w:rPr>
              <w:t>Transverse rotation</w:t>
            </w:r>
          </w:p>
        </w:tc>
        <w:tc>
          <w:tcPr>
            <w:tcW w:type="dxa" w:w="1569"/>
          </w:tcPr>
          <w:p>
            <w:pPr>
              <w:spacing w:after="20"/>
            </w:pPr>
            <w:r/>
            <w:r>
              <w:rPr>
                <w:rFonts w:ascii="Arial" w:hAnsi="Arial"/>
                <w:sz w:val="16"/>
              </w:rPr>
              <w:t>≈ ±8°, not replicated</w:t>
            </w:r>
          </w:p>
        </w:tc>
        <w:tc>
          <w:tcPr>
            <w:tcW w:type="dxa" w:w="2574"/>
          </w:tcPr>
          <w:p>
            <w:pPr>
              <w:spacing w:after="20"/>
            </w:pPr>
            <w:r/>
            <w:r>
              <w:rPr>
                <w:rFonts w:ascii="Arial" w:hAnsi="Arial"/>
                <w:sz w:val="16"/>
              </w:rPr>
              <w:t>±15°, needed for rotation and to shed torsional shock</w:t>
            </w:r>
          </w:p>
        </w:tc>
        <w:tc>
          <w:tcPr>
            <w:tcW w:type="dxa" w:w="3954"/>
          </w:tcPr>
          <w:p>
            <w:pPr>
              <w:spacing w:after="20"/>
            </w:pPr>
            <w:r/>
            <w:r>
              <w:rPr>
                <w:rFonts w:ascii="Arial" w:hAnsi="Arial"/>
                <w:sz w:val="16"/>
              </w:rPr>
              <w:t>Torsion adapter becomes mandatory</w:t>
            </w:r>
          </w:p>
        </w:tc>
      </w:tr>
      <w:tr>
        <w:tc>
          <w:tcPr>
            <w:tcW w:type="dxa" w:w="1695"/>
          </w:tcPr>
          <w:p>
            <w:pPr>
              <w:spacing w:after="20"/>
            </w:pPr>
            <w:r/>
            <w:r>
              <w:rPr>
                <w:rFonts w:ascii="Arial" w:hAnsi="Arial"/>
                <w:sz w:val="16"/>
              </w:rPr>
              <w:t>Load character</w:t>
            </w:r>
          </w:p>
        </w:tc>
        <w:tc>
          <w:tcPr>
            <w:tcW w:type="dxa" w:w="1569"/>
          </w:tcPr>
          <w:p>
            <w:pPr>
              <w:spacing w:after="20"/>
            </w:pPr>
            <w:r/>
            <w:r>
              <w:rPr>
                <w:rFonts w:ascii="Arial" w:hAnsi="Arial"/>
                <w:sz w:val="16"/>
              </w:rPr>
              <w:t>Cyclic, ≈ 5,000/day</w:t>
            </w:r>
          </w:p>
        </w:tc>
        <w:tc>
          <w:tcPr>
            <w:tcW w:type="dxa" w:w="2574"/>
          </w:tcPr>
          <w:p>
            <w:pPr>
              <w:spacing w:after="20"/>
            </w:pPr>
            <w:r/>
            <w:r>
              <w:rPr>
                <w:rFonts w:ascii="Arial" w:hAnsi="Arial"/>
                <w:sz w:val="16"/>
              </w:rPr>
              <w:t>Sustained turns plus high-energy transients</w:t>
            </w:r>
          </w:p>
        </w:tc>
        <w:tc>
          <w:tcPr>
            <w:tcW w:type="dxa" w:w="3954"/>
          </w:tcPr>
          <w:p>
            <w:pPr>
              <w:spacing w:after="20"/>
            </w:pPr>
            <w:r/>
            <w:r>
              <w:rPr>
                <w:rFonts w:ascii="Arial" w:hAnsi="Arial"/>
                <w:sz w:val="16"/>
              </w:rPr>
              <w:t>Both fatigue and ultimate strength govern</w:t>
            </w:r>
          </w:p>
        </w:tc>
      </w:tr>
      <w:tr>
        <w:tc>
          <w:tcPr>
            <w:tcW w:type="dxa" w:w="1695"/>
          </w:tcPr>
          <w:p>
            <w:pPr>
              <w:spacing w:after="20"/>
            </w:pPr>
            <w:r/>
            <w:r>
              <w:rPr>
                <w:rFonts w:ascii="Arial" w:hAnsi="Arial"/>
                <w:sz w:val="16"/>
              </w:rPr>
              <w:t>Ambient temperature</w:t>
            </w:r>
          </w:p>
        </w:tc>
        <w:tc>
          <w:tcPr>
            <w:tcW w:type="dxa" w:w="1569"/>
          </w:tcPr>
          <w:p>
            <w:pPr>
              <w:spacing w:after="20"/>
            </w:pPr>
            <w:r/>
            <w:r>
              <w:rPr>
                <w:rFonts w:ascii="Arial" w:hAnsi="Arial"/>
                <w:sz w:val="16"/>
              </w:rPr>
              <w:t>15–25 °C</w:t>
            </w:r>
          </w:p>
        </w:tc>
        <w:tc>
          <w:tcPr>
            <w:tcW w:type="dxa" w:w="2574"/>
          </w:tcPr>
          <w:p>
            <w:pPr>
              <w:spacing w:after="20"/>
            </w:pPr>
            <w:r/>
            <w:r>
              <w:rPr>
                <w:rFonts w:ascii="Arial" w:hAnsi="Arial"/>
                <w:sz w:val="16"/>
              </w:rPr>
              <w:t>−10 to 0 °C</w:t>
            </w:r>
          </w:p>
        </w:tc>
        <w:tc>
          <w:tcPr>
            <w:tcW w:type="dxa" w:w="3954"/>
          </w:tcPr>
          <w:p>
            <w:pPr>
              <w:spacing w:after="20"/>
            </w:pPr>
            <w:r/>
            <w:r>
              <w:rPr>
                <w:rFonts w:ascii="Arial" w:hAnsi="Arial"/>
                <w:sz w:val="16"/>
              </w:rPr>
              <w:t>Elastomer stiffening; material selection by glass transition</w:t>
            </w:r>
          </w:p>
        </w:tc>
      </w:tr>
      <w:tr>
        <w:tc>
          <w:tcPr>
            <w:tcW w:type="dxa" w:w="1695"/>
          </w:tcPr>
          <w:p>
            <w:pPr>
              <w:spacing w:after="20"/>
            </w:pPr>
            <w:r/>
            <w:r>
              <w:rPr>
                <w:rFonts w:ascii="Arial" w:hAnsi="Arial"/>
                <w:sz w:val="16"/>
              </w:rPr>
              <w:t>Pylon stress (30 × 2 mm, 6061-T6)</w:t>
            </w:r>
          </w:p>
        </w:tc>
        <w:tc>
          <w:tcPr>
            <w:tcW w:type="dxa" w:w="1569"/>
          </w:tcPr>
          <w:p>
            <w:pPr>
              <w:spacing w:after="20"/>
            </w:pPr>
            <w:r/>
            <w:r>
              <w:rPr>
                <w:rFonts w:ascii="Arial" w:hAnsi="Arial"/>
                <w:sz w:val="16"/>
              </w:rPr>
              <w:t>76.4 MPa (SF 3.6)</w:t>
            </w:r>
          </w:p>
        </w:tc>
        <w:tc>
          <w:tcPr>
            <w:tcW w:type="dxa" w:w="2574"/>
          </w:tcPr>
          <w:p>
            <w:pPr>
              <w:spacing w:after="20"/>
            </w:pPr>
            <w:r/>
            <w:r>
              <w:rPr>
                <w:rFonts w:ascii="Arial" w:hAnsi="Arial"/>
                <w:sz w:val="16"/>
              </w:rPr>
              <w:t>417 MPa (SF 0.66 — fails)</w:t>
            </w:r>
          </w:p>
        </w:tc>
        <w:tc>
          <w:tcPr>
            <w:tcW w:type="dxa" w:w="3954"/>
          </w:tcPr>
          <w:p>
            <w:pPr>
              <w:spacing w:after="20"/>
            </w:pPr>
            <w:r/>
            <w:r>
              <w:rPr>
                <w:rFonts w:ascii="Arial" w:hAnsi="Arial"/>
                <w:sz w:val="16"/>
              </w:rPr>
              <w:t>Material change to titanium required</w:t>
            </w:r>
          </w:p>
        </w:tc>
      </w:tr>
    </w:tbl>
    <w:p>
      <w:pPr>
        <w:keepNext/>
        <w:spacing w:before="140" w:after="60"/>
      </w:pPr>
      <w:r>
        <w:rPr>
          <w:rFonts w:ascii="Arial" w:hAnsi="Arial"/>
          <w:b/>
          <w:color w:val="1F3B73"/>
          <w:sz w:val="21"/>
        </w:rPr>
        <w:t>3.4  Required Design Modifications</w:t>
      </w:r>
    </w:p>
    <w:p>
      <w:pPr>
        <w:spacing w:after="100"/>
        <w:jc w:val="both"/>
      </w:pPr>
      <w:r>
        <w:rPr>
          <w:rFonts w:ascii="Arial" w:hAnsi="Arial"/>
          <w:b/>
        </w:rPr>
        <w:t>1. Pylon material and section.</w:t>
      </w:r>
      <w:r>
        <w:rPr>
          <w:rFonts w:ascii="Arial" w:hAnsi="Arial"/>
        </w:rPr>
        <w:t xml:space="preserve"> Substitute Ti-6Al-4V (SF 2.1 against the landing case). This is a direct consequence of the §3.2 calculation, not a preference.</w:t>
      </w:r>
    </w:p>
    <w:p>
      <w:pPr>
        <w:spacing w:after="100"/>
        <w:jc w:val="both"/>
      </w:pPr>
      <w:r>
        <w:rPr>
          <w:rFonts w:ascii="Arial" w:hAnsi="Arial"/>
          <w:b/>
        </w:rPr>
        <w:t>2. Torsion and shock adapter.</w:t>
      </w:r>
      <w:r>
        <w:rPr>
          <w:rFonts w:ascii="Arial" w:hAnsi="Arial"/>
        </w:rPr>
        <w:t xml:space="preserve"> Add a modular torsion unit providing ±15° of transverse compliance with an axial shock element. This both supplies the rotation the activity demands and attenuates the landing transient, reducing the peak the pylon must carry.</w:t>
      </w:r>
    </w:p>
    <w:p>
      <w:pPr>
        <w:spacing w:after="100"/>
        <w:jc w:val="both"/>
      </w:pPr>
      <w:r>
        <w:rPr>
          <w:rFonts w:ascii="Arial" w:hAnsi="Arial"/>
          <w:b/>
        </w:rPr>
        <w:t>3. Frontal-plane articulation.</w:t>
      </w:r>
      <w:r>
        <w:rPr>
          <w:rFonts w:ascii="Arial" w:hAnsi="Arial"/>
        </w:rPr>
        <w:t xml:space="preserve"> Replace the passive ±6° bushing with a multiaxial unit giving ±15° of controlled inversion/eversion. Edge control is an </w:t>
      </w:r>
      <w:r>
        <w:rPr>
          <w:rFonts w:ascii="Arial" w:hAnsi="Arial"/>
          <w:i/>
        </w:rPr>
        <w:t>active</w:t>
      </w:r>
      <w:r>
        <w:rPr>
          <w:rFonts w:ascii="Arial" w:hAnsi="Arial"/>
        </w:rPr>
        <w:t xml:space="preserve"> frontal-plane task; passive give is not equivalent.</w:t>
      </w:r>
    </w:p>
    <w:p>
      <w:pPr>
        <w:spacing w:after="100"/>
        <w:jc w:val="both"/>
      </w:pPr>
      <w:r>
        <w:rPr>
          <w:rFonts w:ascii="Arial" w:hAnsi="Arial"/>
          <w:b/>
        </w:rPr>
        <w:t>4. Reconsider the keel.</w:t>
      </w:r>
      <w:r>
        <w:rPr>
          <w:rFonts w:ascii="Arial" w:hAnsi="Arial"/>
        </w:rPr>
        <w:t xml:space="preserve"> The board is itself the lever. A split-toe forefoot keel contributes little and introduces an unwanted compliance in the frontal plane. A stiffer, laterally symmetric keel — or a dedicated board-specific foot with no toe break — is the better alternative, and is the approach several sport prostheses already take.</w:t>
      </w:r>
    </w:p>
    <w:p>
      <w:pPr>
        <w:spacing w:after="100"/>
        <w:jc w:val="both"/>
      </w:pPr>
      <w:r>
        <w:rPr>
          <w:rFonts w:ascii="Arial" w:hAnsi="Arial"/>
          <w:b/>
        </w:rPr>
        <w:t>5. Cold-temperature material selection.</w:t>
      </w:r>
      <w:r>
        <w:rPr>
          <w:rFonts w:ascii="Arial" w:hAnsi="Arial"/>
        </w:rPr>
        <w:t xml:space="preserve"> Polyurethane elastomers stiffen sharply as temperature approaches their glass transition, so a bushing tuned at room temperature will not behave as designed at −10 °C. Specify a low-glass-transition silicone, and verify damper fluid viscosity across the operating range.</w:t>
      </w:r>
    </w:p>
    <w:p>
      <w:pPr>
        <w:spacing w:after="100"/>
        <w:jc w:val="both"/>
      </w:pPr>
      <w:r>
        <w:rPr>
          <w:rFonts w:ascii="Arial" w:hAnsi="Arial"/>
          <w:b/>
        </w:rPr>
        <w:t>6. Suspension and interface.</w:t>
      </w:r>
      <w:r>
        <w:rPr>
          <w:rFonts w:ascii="Arial" w:hAnsi="Arial"/>
        </w:rPr>
        <w:t xml:space="preserve"> Impact loading argues for a mechanical backup to vacuum suspension (pin-lock or lanyard), and for a dedicated sport socket rather than reusing the walking socket, whose trim lines are cut for a different stance.</w:t>
      </w:r>
    </w:p>
    <w:p>
      <w:pPr>
        <w:keepNext/>
        <w:spacing w:before="200" w:after="60"/>
        <w:pBdr>
          <w:bottom w:val="single" w:sz="6" w:space="1" w:color="999999"/>
        </w:pBdr>
      </w:pPr>
      <w:r>
        <w:rPr>
          <w:rFonts w:ascii="Arial" w:hAnsi="Arial"/>
          <w:b/>
          <w:color w:val="1F3B73"/>
          <w:sz w:val="23"/>
        </w:rPr>
        <w:t>References</w:t>
      </w:r>
    </w:p>
    <w:p>
      <w:pPr>
        <w:spacing w:after="60"/>
        <w:ind w:left="461" w:hanging="461"/>
      </w:pPr>
      <w:r>
        <w:rPr>
          <w:rFonts w:ascii="Arial" w:hAnsi="Arial"/>
          <w:sz w:val="18"/>
        </w:rPr>
        <w:t xml:space="preserve">[1] Nordin, M. and Frankel, V. H. </w:t>
      </w:r>
      <w:r>
        <w:rPr>
          <w:rFonts w:ascii="Arial" w:hAnsi="Arial"/>
          <w:i/>
          <w:sz w:val="18"/>
        </w:rPr>
        <w:t>Basic Biomechanics of the Musculoskeletal System</w:t>
      </w:r>
      <w:r>
        <w:rPr>
          <w:rFonts w:ascii="Arial" w:hAnsi="Arial"/>
          <w:sz w:val="18"/>
        </w:rPr>
        <w:t>, 3rd ed. Baltimore, MD: Lippincott Williams &amp; Wilkins, 2001. Chapters 7 and 9.</w:t>
      </w:r>
    </w:p>
    <w:p>
      <w:pPr>
        <w:spacing w:after="60"/>
        <w:ind w:left="461" w:hanging="461"/>
      </w:pPr>
      <w:r>
        <w:rPr>
          <w:rFonts w:ascii="Arial" w:hAnsi="Arial"/>
          <w:sz w:val="18"/>
        </w:rPr>
        <w:t xml:space="preserve">[2] Cooper, R. A. </w:t>
      </w:r>
      <w:r>
        <w:rPr>
          <w:rFonts w:ascii="Arial" w:hAnsi="Arial"/>
          <w:i/>
          <w:sz w:val="18"/>
        </w:rPr>
        <w:t>Introduction to Rehabilitation Engineering</w:t>
      </w:r>
      <w:r>
        <w:rPr>
          <w:rFonts w:ascii="Arial" w:hAnsi="Arial"/>
          <w:sz w:val="18"/>
        </w:rPr>
        <w:t>, Chapter 18. Boca Raton, FL: Taylor &amp; Francis.</w:t>
      </w:r>
    </w:p>
    <w:p>
      <w:pPr>
        <w:spacing w:after="60"/>
        <w:ind w:left="461" w:hanging="461"/>
      </w:pPr>
      <w:r>
        <w:rPr>
          <w:rFonts w:ascii="Arial" w:hAnsi="Arial"/>
          <w:sz w:val="18"/>
        </w:rPr>
        <w:t xml:space="preserve">[3] International Organization for Standardization. </w:t>
      </w:r>
      <w:r>
        <w:rPr>
          <w:rFonts w:ascii="Arial" w:hAnsi="Arial"/>
          <w:i/>
          <w:sz w:val="18"/>
        </w:rPr>
        <w:t>ISO 10328:2016 — Prosthetics: Structural testing of lower-limb prostheses — Requirements and test methods</w:t>
      </w:r>
      <w:r>
        <w:rPr>
          <w:rFonts w:ascii="Arial" w:hAnsi="Arial"/>
          <w:sz w:val="18"/>
        </w:rPr>
        <w:t>. Geneva: ISO, 2016.</w:t>
      </w:r>
    </w:p>
    <w:p>
      <w:pPr>
        <w:spacing w:after="60"/>
        <w:ind w:left="461" w:hanging="461"/>
      </w:pPr>
      <w:r>
        <w:rPr>
          <w:rFonts w:ascii="Arial" w:hAnsi="Arial"/>
          <w:sz w:val="18"/>
        </w:rPr>
        <w:t>[4] OpenStax College Physics. "Forces and Torques in Muscles and Joints." BCcampus Open Textbooks.</w:t>
      </w:r>
    </w:p>
    <w:p>
      <w:pPr>
        <w:spacing w:after="60"/>
        <w:ind w:left="461" w:hanging="461"/>
      </w:pPr>
      <w:r>
        <w:rPr>
          <w:rFonts w:ascii="Arial" w:hAnsi="Arial"/>
          <w:sz w:val="18"/>
        </w:rPr>
        <w:t>[5] Physiopedia. "Biomechanics in Prosthetic Rehabilitation."</w:t>
      </w:r>
    </w:p>
    <w:p>
      <w:pPr>
        <w:spacing w:after="60"/>
        <w:ind w:left="461" w:hanging="461"/>
      </w:pPr>
      <w:r>
        <w:rPr>
          <w:rFonts w:ascii="Arial" w:hAnsi="Arial"/>
          <w:sz w:val="18"/>
        </w:rPr>
        <w:t xml:space="preserve">[6] Winter, D. A. </w:t>
      </w:r>
      <w:r>
        <w:rPr>
          <w:rFonts w:ascii="Arial" w:hAnsi="Arial"/>
          <w:i/>
          <w:sz w:val="18"/>
        </w:rPr>
        <w:t>Biomechanics and Motor Control of Human Movement</w:t>
      </w:r>
      <w:r>
        <w:rPr>
          <w:rFonts w:ascii="Arial" w:hAnsi="Arial"/>
          <w:sz w:val="18"/>
        </w:rPr>
        <w:t>, 4th ed. Hoboken, NJ: Wiley, 2009.</w:t>
      </w:r>
    </w:p>
    <w:p>
      <w:pPr>
        <w:spacing w:after="60"/>
        <w:ind w:left="461" w:hanging="461"/>
      </w:pPr>
      <w:r>
        <w:rPr>
          <w:rFonts w:ascii="Arial" w:hAnsi="Arial"/>
          <w:sz w:val="18"/>
        </w:rPr>
        <w:t xml:space="preserve">[7] ASM International. </w:t>
      </w:r>
      <w:r>
        <w:rPr>
          <w:rFonts w:ascii="Arial" w:hAnsi="Arial"/>
          <w:i/>
          <w:sz w:val="18"/>
        </w:rPr>
        <w:t>ASM Handbook, Volume 2: Properties and Selection — Nonferrous Alloys and Special-Purpose Materials</w:t>
      </w:r>
      <w:r>
        <w:rPr>
          <w:rFonts w:ascii="Arial" w:hAnsi="Arial"/>
          <w:sz w:val="18"/>
        </w:rPr>
        <w:t>. Materials Park, OH: ASM International.</w:t>
      </w:r>
    </w:p>
    <w:p>
      <w:pPr>
        <w:spacing w:after="60"/>
        <w:ind w:left="461" w:hanging="461"/>
      </w:pPr>
      <w:r>
        <w:rPr>
          <w:rFonts w:ascii="Arial" w:hAnsi="Arial"/>
          <w:sz w:val="18"/>
        </w:rPr>
        <w:t xml:space="preserve">[8] International Organization for Standardization. </w:t>
      </w:r>
      <w:r>
        <w:rPr>
          <w:rFonts w:ascii="Arial" w:hAnsi="Arial"/>
          <w:i/>
          <w:sz w:val="18"/>
        </w:rPr>
        <w:t>ISO 22675 — Prosthetics: Testing of ankle-foot devices and foot units — Requirements and test methods</w:t>
      </w:r>
      <w:r>
        <w:rPr>
          <w:rFonts w:ascii="Arial" w:hAnsi="Arial"/>
          <w:sz w:val="18"/>
        </w:rPr>
        <w:t>. Geneva: ISO.</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