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Times New Roman" w:hAnsi="Times New Roman"/>
          <w:b/>
          <w:color w:val="1F3B73"/>
          <w:sz w:val="28"/>
        </w:rPr>
        <w:t>Module 6 Kano Diagram Assignment</w:t>
      </w:r>
    </w:p>
    <w:p>
      <w:pPr>
        <w:spacing w:after="200"/>
        <w:jc w:val="center"/>
      </w:pPr>
      <w:r>
        <w:rPr>
          <w:rFonts w:ascii="Times New Roman" w:hAnsi="Times New Roman"/>
          <w:sz w:val="20"/>
        </w:rPr>
        <w:t>585.617 Rehabilitation Engineering  |  [Your Name]  |  [Date]</w:t>
      </w:r>
    </w:p>
    <w:p>
      <w:pPr>
        <w:keepNext/>
        <w:spacing w:before="80" w:after="80"/>
      </w:pPr>
      <w:r>
        <w:rPr>
          <w:rFonts w:ascii="Times New Roman" w:hAnsi="Times New Roman"/>
          <w:b/>
          <w:color w:val="1F3B73"/>
          <w:sz w:val="23"/>
        </w:rPr>
        <w:t>Product and Customer Definition</w:t>
      </w:r>
    </w:p>
    <w:p>
      <w:pPr>
        <w:spacing w:after="140"/>
        <w:jc w:val="both"/>
      </w:pPr>
      <w:r>
        <w:rPr>
          <w:rFonts w:ascii="Times New Roman" w:hAnsi="Times New Roman"/>
        </w:rPr>
        <w:t xml:space="preserve">The product considered is a </w:t>
      </w:r>
      <w:r>
        <w:rPr>
          <w:rFonts w:ascii="Times New Roman" w:hAnsi="Times New Roman"/>
          <w:b/>
        </w:rPr>
        <w:t>pressure-injury prevention system for a hospital or long-term-care bed</w:t>
      </w:r>
      <w:r>
        <w:rPr>
          <w:rFonts w:ascii="Times New Roman" w:hAnsi="Times New Roman"/>
        </w:rPr>
        <w:t xml:space="preserve"> — a support surface integrated with skin and tissue monitoring. Following the assignment guidance, the customer is treated as </w:t>
      </w:r>
      <w:r>
        <w:rPr>
          <w:rFonts w:ascii="Times New Roman" w:hAnsi="Times New Roman"/>
          <w:b/>
        </w:rPr>
        <w:t>all three stakeholders</w:t>
      </w:r>
      <w:r>
        <w:rPr>
          <w:rFonts w:ascii="Times New Roman" w:hAnsi="Times New Roman"/>
        </w:rPr>
        <w:t>: the patient who lies on the surface, the nurse who operates and documents it, and the physician who is accountable for the outcome. Several requirements below are satisfying to one stakeholder and invisible to another, which is itself a reason the Kano categories differ by audience.</w:t>
      </w:r>
    </w:p>
    <w:p>
      <w:pPr>
        <w:spacing w:after="140"/>
        <w:jc w:val="both"/>
      </w:pPr>
      <w:r>
        <w:rPr>
          <w:rFonts w:ascii="Times New Roman" w:hAnsi="Times New Roman"/>
          <w:b/>
        </w:rPr>
        <w:t>A note on where the Unspokens sit.</w:t>
      </w:r>
      <w:r>
        <w:rPr>
          <w:rFonts w:ascii="Times New Roman" w:hAnsi="Times New Roman"/>
        </w:rPr>
        <w:t xml:space="preserve"> Dieter’s Figure 3.5 draws three curves and an indifferent region, while the four-level breakdown names Expecters, Spokens, Unspokens and Exciters. Unspokens are plotted here on a dashed curve just below the threshold/basic curve because they produce the </w:t>
      </w:r>
      <w:r>
        <w:rPr>
          <w:rFonts w:ascii="Times New Roman" w:hAnsi="Times New Roman"/>
          <w:i/>
        </w:rPr>
        <w:t>same satisfaction response</w:t>
      </w:r>
      <w:r>
        <w:rPr>
          <w:rFonts w:ascii="Times New Roman" w:hAnsi="Times New Roman"/>
        </w:rPr>
        <w:t xml:space="preserve"> as basics — their absence causes dissatisfaction and their presence earns no credit — but they differ in how they are elicited. A nurse will not ask for shear management at the cover layer; they will only report that patients "keep sliding down the bed." Unspokens are therefore found by observation and product dissection rather than by interview or survey, which is exactly the distinction the module lecture draws.</w:t>
      </w:r>
    </w:p>
    <w:p>
      <w:pPr>
        <w:keepNext/>
        <w:spacing w:before="120"/>
        <w:jc w:val="center"/>
      </w:pPr>
      <w:r>
        <w:drawing>
          <wp:inline xmlns:a="http://schemas.openxmlformats.org/drawingml/2006/main" xmlns:pic="http://schemas.openxmlformats.org/drawingml/2006/picture">
            <wp:extent cx="5852160" cy="4213555"/>
            <wp:docPr id="1" name="Picture 1"/>
            <wp:cNvGraphicFramePr>
              <a:graphicFrameLocks noChangeAspect="1"/>
            </wp:cNvGraphicFramePr>
            <a:graphic>
              <a:graphicData uri="http://schemas.openxmlformats.org/drawingml/2006/picture">
                <pic:pic>
                  <pic:nvPicPr>
                    <pic:cNvPr id="0" name="kano_diagram.png"/>
                    <pic:cNvPicPr/>
                  </pic:nvPicPr>
                  <pic:blipFill>
                    <a:blip r:embed="rId9"/>
                    <a:stretch>
                      <a:fillRect/>
                    </a:stretch>
                  </pic:blipFill>
                  <pic:spPr>
                    <a:xfrm>
                      <a:off x="0" y="0"/>
                      <a:ext cx="5852160" cy="4213555"/>
                    </a:xfrm>
                    <a:prstGeom prst="rect"/>
                  </pic:spPr>
                </pic:pic>
              </a:graphicData>
            </a:graphic>
          </wp:inline>
        </w:drawing>
      </w:r>
    </w:p>
    <w:p>
      <w:pPr>
        <w:spacing w:after="200"/>
        <w:jc w:val="center"/>
      </w:pPr>
      <w:r>
        <w:rPr>
          <w:rFonts w:ascii="Times New Roman" w:hAnsi="Times New Roman"/>
          <w:b/>
          <w:sz w:val="18"/>
        </w:rPr>
        <w:t>Figure 1.</w:t>
      </w:r>
      <w:r>
        <w:rPr>
          <w:rFonts w:ascii="Times New Roman" w:hAnsi="Times New Roman"/>
          <w:sz w:val="18"/>
        </w:rPr>
        <w:t xml:space="preserve"> Kano diagram in the format of Dieter Fig. 3.5, with requirements placed on the curve matching their satisfaction response. Dashed arrows link the same feature at a low-investment and a high-investment level of implementation (E4a→E4b, X1a→X1b).</w:t>
      </w:r>
    </w:p>
    <w:p>
      <w:pPr>
        <w:keepNext/>
        <w:spacing w:before="220" w:after="80"/>
      </w:pPr>
      <w:r>
        <w:rPr>
          <w:rFonts w:ascii="Times New Roman" w:hAnsi="Times New Roman"/>
          <w:b/>
          <w:color w:val="1F3B73"/>
          <w:sz w:val="23"/>
        </w:rPr>
        <w:t>Requirement Listing</w:t>
      </w:r>
    </w:p>
    <w:tbl>
      <w:tblPr>
        <w:tblStyle w:val="TableGrid"/>
        <w:tblW w:type="auto" w:w="0"/>
        <w:jc w:val="center"/>
        <w:tblLayout w:type="fixed"/>
        <w:tblLook w:firstColumn="1" w:firstRow="1" w:lastColumn="0" w:lastRow="0" w:noHBand="0" w:noVBand="1" w:val="04A0"/>
        <w:tblCellMar>
          <w:left w:w="50" w:type="dxa"/>
          <w:right w:w="50" w:type="dxa"/>
          <w:top w:w="20" w:type="dxa"/>
          <w:bottom w:w="20" w:type="dxa"/>
        </w:tblCellMar>
        <w:tblLayout w:type="fixed"/>
      </w:tblPr>
      <w:tblGrid>
        <w:gridCol w:w="628"/>
        <w:gridCol w:w="2863"/>
        <w:gridCol w:w="1187"/>
        <w:gridCol w:w="4680"/>
      </w:tblGrid>
      <w:tr>
        <w:trPr>
          <w:tblHeader w:val="true"/>
        </w:trPr>
        <w:tc>
          <w:tcPr>
            <w:tcW w:type="dxa" w:w="629"/>
            <w:shd w:val="clear" w:fill="E8EAED"/>
          </w:tcPr>
          <w:p>
            <w:pPr>
              <w:spacing w:after="20"/>
            </w:pPr>
            <w:r/>
            <w:r>
              <w:rPr>
                <w:rFonts w:ascii="Times New Roman" w:hAnsi="Times New Roman"/>
                <w:b/>
                <w:sz w:val="17"/>
              </w:rPr>
              <w:t>ID</w:t>
            </w:r>
          </w:p>
        </w:tc>
        <w:tc>
          <w:tcPr>
            <w:tcW w:type="dxa" w:w="2864"/>
            <w:shd w:val="clear" w:fill="E8EAED"/>
          </w:tcPr>
          <w:p>
            <w:pPr>
              <w:spacing w:after="20"/>
            </w:pPr>
            <w:r/>
            <w:r>
              <w:rPr>
                <w:rFonts w:ascii="Times New Roman" w:hAnsi="Times New Roman"/>
                <w:b/>
                <w:sz w:val="17"/>
              </w:rPr>
              <w:t>Requirement</w:t>
            </w:r>
          </w:p>
        </w:tc>
        <w:tc>
          <w:tcPr>
            <w:tcW w:type="dxa" w:w="1187"/>
            <w:shd w:val="clear" w:fill="E8EAED"/>
          </w:tcPr>
          <w:p>
            <w:pPr>
              <w:spacing w:after="20"/>
            </w:pPr>
            <w:r/>
            <w:r>
              <w:rPr>
                <w:rFonts w:ascii="Times New Roman" w:hAnsi="Times New Roman"/>
                <w:b/>
                <w:sz w:val="17"/>
              </w:rPr>
              <w:t>Customer</w:t>
            </w:r>
          </w:p>
        </w:tc>
        <w:tc>
          <w:tcPr>
            <w:tcW w:type="dxa" w:w="4680"/>
            <w:shd w:val="clear" w:fill="E8EAED"/>
          </w:tcPr>
          <w:p>
            <w:pPr>
              <w:spacing w:after="20"/>
            </w:pPr>
            <w:r/>
            <w:r>
              <w:rPr>
                <w:rFonts w:ascii="Times New Roman" w:hAnsi="Times New Roman"/>
                <w:b/>
                <w:sz w:val="17"/>
              </w:rPr>
              <w:t>Why it sits where it does</w:t>
            </w:r>
          </w:p>
        </w:tc>
      </w:tr>
      <w:tr>
        <w:tc>
          <w:tcPr>
            <w:tcW w:type="dxa" w:w="629"/>
          </w:tcPr>
          <w:p>
            <w:pPr>
              <w:spacing w:after="20"/>
            </w:pPr>
            <w:r/>
            <w:r>
              <w:rPr>
                <w:rFonts w:ascii="Times New Roman" w:hAnsi="Times New Roman"/>
                <w:b/>
                <w:sz w:val="17"/>
              </w:rPr>
              <w:t>E1</w:t>
            </w:r>
          </w:p>
        </w:tc>
        <w:tc>
          <w:tcPr>
            <w:tcW w:type="dxa" w:w="2864"/>
          </w:tcPr>
          <w:p>
            <w:pPr>
              <w:spacing w:after="20"/>
            </w:pPr>
            <w:r/>
            <w:r>
              <w:rPr>
                <w:rFonts w:ascii="Times New Roman" w:hAnsi="Times New Roman"/>
                <w:sz w:val="17"/>
              </w:rPr>
              <w:t>Redistributes interface pressure at the sacrum and heels below the tissue-damage threshold</w:t>
            </w:r>
          </w:p>
        </w:tc>
        <w:tc>
          <w:tcPr>
            <w:tcW w:type="dxa" w:w="1187"/>
          </w:tcPr>
          <w:p>
            <w:pPr>
              <w:spacing w:after="20"/>
            </w:pPr>
            <w:r/>
            <w:r>
              <w:rPr>
                <w:rFonts w:ascii="Times New Roman" w:hAnsi="Times New Roman"/>
                <w:sz w:val="17"/>
              </w:rPr>
              <w:t>Patient, physician</w:t>
            </w:r>
          </w:p>
        </w:tc>
        <w:tc>
          <w:tcPr>
            <w:tcW w:type="dxa" w:w="4680"/>
          </w:tcPr>
          <w:p>
            <w:pPr>
              <w:spacing w:after="20"/>
            </w:pPr>
            <w:r/>
            <w:r>
              <w:rPr>
                <w:rFonts w:ascii="Times New Roman" w:hAnsi="Times New Roman"/>
                <w:sz w:val="17"/>
              </w:rPr>
              <w:t>The entire reason the product exists. Absent, the product is worthless; present, nobody praises it.</w:t>
            </w:r>
          </w:p>
        </w:tc>
      </w:tr>
      <w:tr>
        <w:tc>
          <w:tcPr>
            <w:tcW w:type="dxa" w:w="629"/>
          </w:tcPr>
          <w:p>
            <w:pPr>
              <w:spacing w:after="20"/>
            </w:pPr>
            <w:r/>
            <w:r>
              <w:rPr>
                <w:rFonts w:ascii="Times New Roman" w:hAnsi="Times New Roman"/>
                <w:b/>
                <w:sz w:val="17"/>
              </w:rPr>
              <w:t>E2</w:t>
            </w:r>
          </w:p>
        </w:tc>
        <w:tc>
          <w:tcPr>
            <w:tcW w:type="dxa" w:w="2864"/>
          </w:tcPr>
          <w:p>
            <w:pPr>
              <w:spacing w:after="20"/>
            </w:pPr>
            <w:r/>
            <w:r>
              <w:rPr>
                <w:rFonts w:ascii="Times New Roman" w:hAnsi="Times New Roman"/>
                <w:sz w:val="17"/>
              </w:rPr>
              <w:t>Cover is fluid-resistant, cleanable and disinfectable to facility infection-control protocol</w:t>
            </w:r>
          </w:p>
        </w:tc>
        <w:tc>
          <w:tcPr>
            <w:tcW w:type="dxa" w:w="1187"/>
          </w:tcPr>
          <w:p>
            <w:pPr>
              <w:spacing w:after="20"/>
            </w:pPr>
            <w:r/>
            <w:r>
              <w:rPr>
                <w:rFonts w:ascii="Times New Roman" w:hAnsi="Times New Roman"/>
                <w:sz w:val="17"/>
              </w:rPr>
              <w:t>Nurse</w:t>
            </w:r>
          </w:p>
        </w:tc>
        <w:tc>
          <w:tcPr>
            <w:tcW w:type="dxa" w:w="4680"/>
          </w:tcPr>
          <w:p>
            <w:pPr>
              <w:spacing w:after="20"/>
            </w:pPr>
            <w:r/>
            <w:r>
              <w:rPr>
                <w:rFonts w:ascii="Times New Roman" w:hAnsi="Times New Roman"/>
                <w:sz w:val="17"/>
              </w:rPr>
              <w:t>A surface that cannot be cleaned between patients cannot be used at all. Pure threshold.</w:t>
            </w:r>
          </w:p>
        </w:tc>
      </w:tr>
      <w:tr>
        <w:tc>
          <w:tcPr>
            <w:tcW w:type="dxa" w:w="629"/>
          </w:tcPr>
          <w:p>
            <w:pPr>
              <w:spacing w:after="20"/>
            </w:pPr>
            <w:r/>
            <w:r>
              <w:rPr>
                <w:rFonts w:ascii="Times New Roman" w:hAnsi="Times New Roman"/>
                <w:b/>
                <w:sz w:val="17"/>
              </w:rPr>
              <w:t>E3</w:t>
            </w:r>
          </w:p>
        </w:tc>
        <w:tc>
          <w:tcPr>
            <w:tcW w:type="dxa" w:w="2864"/>
          </w:tcPr>
          <w:p>
            <w:pPr>
              <w:spacing w:after="20"/>
            </w:pPr>
            <w:r/>
            <w:r>
              <w:rPr>
                <w:rFonts w:ascii="Times New Roman" w:hAnsi="Times New Roman"/>
                <w:sz w:val="17"/>
              </w:rPr>
              <w:t>Rapid CPR deflate with a clearly marked manual override</w:t>
            </w:r>
          </w:p>
        </w:tc>
        <w:tc>
          <w:tcPr>
            <w:tcW w:type="dxa" w:w="1187"/>
          </w:tcPr>
          <w:p>
            <w:pPr>
              <w:spacing w:after="20"/>
            </w:pPr>
            <w:r/>
            <w:r>
              <w:rPr>
                <w:rFonts w:ascii="Times New Roman" w:hAnsi="Times New Roman"/>
                <w:sz w:val="17"/>
              </w:rPr>
              <w:t>Nurse, physician</w:t>
            </w:r>
          </w:p>
        </w:tc>
        <w:tc>
          <w:tcPr>
            <w:tcW w:type="dxa" w:w="4680"/>
          </w:tcPr>
          <w:p>
            <w:pPr>
              <w:spacing w:after="20"/>
            </w:pPr>
            <w:r/>
            <w:r>
              <w:rPr>
                <w:rFonts w:ascii="Times New Roman" w:hAnsi="Times New Roman"/>
                <w:sz w:val="17"/>
              </w:rPr>
              <w:t>Safety basics are invisible until the one moment they are needed, then their absence is catastrophic.</w:t>
            </w:r>
          </w:p>
        </w:tc>
      </w:tr>
      <w:tr>
        <w:tc>
          <w:tcPr>
            <w:tcW w:type="dxa" w:w="629"/>
          </w:tcPr>
          <w:p>
            <w:pPr>
              <w:spacing w:after="20"/>
            </w:pPr>
            <w:r/>
            <w:r>
              <w:rPr>
                <w:rFonts w:ascii="Times New Roman" w:hAnsi="Times New Roman"/>
                <w:b/>
                <w:sz w:val="17"/>
              </w:rPr>
              <w:t>E4a</w:t>
            </w:r>
          </w:p>
        </w:tc>
        <w:tc>
          <w:tcPr>
            <w:tcW w:type="dxa" w:w="2864"/>
          </w:tcPr>
          <w:p>
            <w:pPr>
              <w:spacing w:after="20"/>
            </w:pPr>
            <w:r/>
            <w:r>
              <w:rPr>
                <w:rFonts w:ascii="Times New Roman" w:hAnsi="Times New Roman"/>
                <w:sz w:val="17"/>
              </w:rPr>
              <w:t>Supports the standard adult weight range without bottoming out</w:t>
            </w:r>
          </w:p>
        </w:tc>
        <w:tc>
          <w:tcPr>
            <w:tcW w:type="dxa" w:w="1187"/>
          </w:tcPr>
          <w:p>
            <w:pPr>
              <w:spacing w:after="20"/>
            </w:pPr>
            <w:r/>
            <w:r>
              <w:rPr>
                <w:rFonts w:ascii="Times New Roman" w:hAnsi="Times New Roman"/>
                <w:sz w:val="17"/>
              </w:rPr>
              <w:t>All</w:t>
            </w:r>
          </w:p>
        </w:tc>
        <w:tc>
          <w:tcPr>
            <w:tcW w:type="dxa" w:w="4680"/>
          </w:tcPr>
          <w:p>
            <w:pPr>
              <w:spacing w:after="20"/>
            </w:pPr>
            <w:r/>
            <w:r>
              <w:rPr>
                <w:rFonts w:ascii="Times New Roman" w:hAnsi="Times New Roman"/>
                <w:sz w:val="17"/>
              </w:rPr>
              <w:t>Basic capability at minimum implementation — meets the threshold and no more.</w:t>
            </w:r>
          </w:p>
        </w:tc>
      </w:tr>
      <w:tr>
        <w:tc>
          <w:tcPr>
            <w:tcW w:type="dxa" w:w="629"/>
          </w:tcPr>
          <w:p>
            <w:pPr>
              <w:spacing w:after="20"/>
            </w:pPr>
            <w:r/>
            <w:r>
              <w:rPr>
                <w:rFonts w:ascii="Times New Roman" w:hAnsi="Times New Roman"/>
                <w:b/>
                <w:sz w:val="17"/>
              </w:rPr>
              <w:t>E4b</w:t>
            </w:r>
          </w:p>
        </w:tc>
        <w:tc>
          <w:tcPr>
            <w:tcW w:type="dxa" w:w="2864"/>
          </w:tcPr>
          <w:p>
            <w:pPr>
              <w:spacing w:after="20"/>
            </w:pPr>
            <w:r/>
            <w:r>
              <w:rPr>
                <w:rFonts w:ascii="Times New Roman" w:hAnsi="Times New Roman"/>
                <w:sz w:val="17"/>
              </w:rPr>
              <w:t>Supports the full bariatric range with the same immersion performance</w:t>
            </w:r>
          </w:p>
        </w:tc>
        <w:tc>
          <w:tcPr>
            <w:tcW w:type="dxa" w:w="1187"/>
          </w:tcPr>
          <w:p>
            <w:pPr>
              <w:spacing w:after="20"/>
            </w:pPr>
            <w:r/>
            <w:r>
              <w:rPr>
                <w:rFonts w:ascii="Times New Roman" w:hAnsi="Times New Roman"/>
                <w:sz w:val="17"/>
              </w:rPr>
              <w:t>All</w:t>
            </w:r>
          </w:p>
        </w:tc>
        <w:tc>
          <w:tcPr>
            <w:tcW w:type="dxa" w:w="4680"/>
          </w:tcPr>
          <w:p>
            <w:pPr>
              <w:spacing w:after="20"/>
            </w:pPr>
            <w:r/>
            <w:r>
              <w:rPr>
                <w:rFonts w:ascii="Times New Roman" w:hAnsi="Times New Roman"/>
                <w:sz w:val="17"/>
              </w:rPr>
              <w:t xml:space="preserve">Same feature, higher investment. Still a basic — it saturates rather than delights, which is why E4b sits further right on the </w:t>
            </w:r>
            <w:r>
              <w:rPr>
                <w:rFonts w:ascii="Times New Roman" w:hAnsi="Times New Roman"/>
                <w:i/>
                <w:sz w:val="17"/>
              </w:rPr>
              <w:t>same</w:t>
            </w:r>
            <w:r>
              <w:rPr>
                <w:rFonts w:ascii="Times New Roman" w:hAnsi="Times New Roman"/>
                <w:sz w:val="17"/>
              </w:rPr>
              <w:t xml:space="preserve"> curve.</w:t>
            </w:r>
          </w:p>
        </w:tc>
      </w:tr>
      <w:tr>
        <w:tc>
          <w:tcPr>
            <w:tcW w:type="dxa" w:w="629"/>
          </w:tcPr>
          <w:p>
            <w:pPr>
              <w:spacing w:after="20"/>
            </w:pPr>
            <w:r/>
            <w:r>
              <w:rPr>
                <w:rFonts w:ascii="Times New Roman" w:hAnsi="Times New Roman"/>
                <w:b/>
                <w:sz w:val="17"/>
              </w:rPr>
              <w:t>S1</w:t>
            </w:r>
          </w:p>
        </w:tc>
        <w:tc>
          <w:tcPr>
            <w:tcW w:type="dxa" w:w="2864"/>
          </w:tcPr>
          <w:p>
            <w:pPr>
              <w:spacing w:after="20"/>
            </w:pPr>
            <w:r/>
            <w:r>
              <w:rPr>
                <w:rFonts w:ascii="Times New Roman" w:hAnsi="Times New Roman"/>
                <w:sz w:val="17"/>
              </w:rPr>
              <w:t>Measured peak interface pressure (mmHg) at the sacrum</w:t>
            </w:r>
          </w:p>
        </w:tc>
        <w:tc>
          <w:tcPr>
            <w:tcW w:type="dxa" w:w="1187"/>
          </w:tcPr>
          <w:p>
            <w:pPr>
              <w:spacing w:after="20"/>
            </w:pPr>
            <w:r/>
            <w:r>
              <w:rPr>
                <w:rFonts w:ascii="Times New Roman" w:hAnsi="Times New Roman"/>
                <w:sz w:val="17"/>
              </w:rPr>
              <w:t>Physician</w:t>
            </w:r>
          </w:p>
        </w:tc>
        <w:tc>
          <w:tcPr>
            <w:tcW w:type="dxa" w:w="4680"/>
          </w:tcPr>
          <w:p>
            <w:pPr>
              <w:spacing w:after="20"/>
            </w:pPr>
            <w:r/>
            <w:r>
              <w:rPr>
                <w:rFonts w:ascii="Times New Roman" w:hAnsi="Times New Roman"/>
                <w:sz w:val="17"/>
              </w:rPr>
              <w:t>Classic one-dimensional attribute: lower is better, continuously, and clinicians ask for the number.</w:t>
            </w:r>
          </w:p>
        </w:tc>
      </w:tr>
      <w:tr>
        <w:tc>
          <w:tcPr>
            <w:tcW w:type="dxa" w:w="629"/>
          </w:tcPr>
          <w:p>
            <w:pPr>
              <w:spacing w:after="20"/>
            </w:pPr>
            <w:r/>
            <w:r>
              <w:rPr>
                <w:rFonts w:ascii="Times New Roman" w:hAnsi="Times New Roman"/>
                <w:b/>
                <w:sz w:val="17"/>
              </w:rPr>
              <w:t>S2</w:t>
            </w:r>
          </w:p>
        </w:tc>
        <w:tc>
          <w:tcPr>
            <w:tcW w:type="dxa" w:w="2864"/>
          </w:tcPr>
          <w:p>
            <w:pPr>
              <w:spacing w:after="20"/>
            </w:pPr>
            <w:r/>
            <w:r>
              <w:rPr>
                <w:rFonts w:ascii="Times New Roman" w:hAnsi="Times New Roman"/>
                <w:sz w:val="17"/>
              </w:rPr>
              <w:t>Pump noise at the bedside (dB at 1 m)</w:t>
            </w:r>
          </w:p>
        </w:tc>
        <w:tc>
          <w:tcPr>
            <w:tcW w:type="dxa" w:w="1187"/>
          </w:tcPr>
          <w:p>
            <w:pPr>
              <w:spacing w:after="20"/>
            </w:pPr>
            <w:r/>
            <w:r>
              <w:rPr>
                <w:rFonts w:ascii="Times New Roman" w:hAnsi="Times New Roman"/>
                <w:sz w:val="17"/>
              </w:rPr>
              <w:t>Patient, nurse</w:t>
            </w:r>
          </w:p>
        </w:tc>
        <w:tc>
          <w:tcPr>
            <w:tcW w:type="dxa" w:w="4680"/>
          </w:tcPr>
          <w:p>
            <w:pPr>
              <w:spacing w:after="20"/>
            </w:pPr>
            <w:r/>
            <w:r>
              <w:rPr>
                <w:rFonts w:ascii="Times New Roman" w:hAnsi="Times New Roman"/>
                <w:sz w:val="17"/>
              </w:rPr>
              <w:t>Patients and night staff complain about it explicitly; every decibel removed adds satisfaction.</w:t>
            </w:r>
          </w:p>
        </w:tc>
      </w:tr>
      <w:tr>
        <w:tc>
          <w:tcPr>
            <w:tcW w:type="dxa" w:w="629"/>
          </w:tcPr>
          <w:p>
            <w:pPr>
              <w:spacing w:after="20"/>
            </w:pPr>
            <w:r/>
            <w:r>
              <w:rPr>
                <w:rFonts w:ascii="Times New Roman" w:hAnsi="Times New Roman"/>
                <w:b/>
                <w:sz w:val="17"/>
              </w:rPr>
              <w:t>S3</w:t>
            </w:r>
          </w:p>
        </w:tc>
        <w:tc>
          <w:tcPr>
            <w:tcW w:type="dxa" w:w="2864"/>
          </w:tcPr>
          <w:p>
            <w:pPr>
              <w:spacing w:after="20"/>
            </w:pPr>
            <w:r/>
            <w:r>
              <w:rPr>
                <w:rFonts w:ascii="Times New Roman" w:hAnsi="Times New Roman"/>
                <w:sz w:val="17"/>
              </w:rPr>
              <w:t>Setup and transfer time (minutes from delivery to patient on surface)</w:t>
            </w:r>
          </w:p>
        </w:tc>
        <w:tc>
          <w:tcPr>
            <w:tcW w:type="dxa" w:w="1187"/>
          </w:tcPr>
          <w:p>
            <w:pPr>
              <w:spacing w:after="20"/>
            </w:pPr>
            <w:r/>
            <w:r>
              <w:rPr>
                <w:rFonts w:ascii="Times New Roman" w:hAnsi="Times New Roman"/>
                <w:sz w:val="17"/>
              </w:rPr>
              <w:t>Nurse</w:t>
            </w:r>
          </w:p>
        </w:tc>
        <w:tc>
          <w:tcPr>
            <w:tcW w:type="dxa" w:w="4680"/>
          </w:tcPr>
          <w:p>
            <w:pPr>
              <w:spacing w:after="20"/>
            </w:pPr>
            <w:r/>
            <w:r>
              <w:rPr>
                <w:rFonts w:ascii="Times New Roman" w:hAnsi="Times New Roman"/>
                <w:sz w:val="17"/>
              </w:rPr>
              <w:t>Directly requested, linearly valued — time is the currency of a nursing shift.</w:t>
            </w:r>
          </w:p>
        </w:tc>
      </w:tr>
      <w:tr>
        <w:tc>
          <w:tcPr>
            <w:tcW w:type="dxa" w:w="629"/>
          </w:tcPr>
          <w:p>
            <w:pPr>
              <w:spacing w:after="20"/>
            </w:pPr>
            <w:r/>
            <w:r>
              <w:rPr>
                <w:rFonts w:ascii="Times New Roman" w:hAnsi="Times New Roman"/>
                <w:b/>
                <w:sz w:val="17"/>
              </w:rPr>
              <w:t>S4</w:t>
            </w:r>
          </w:p>
        </w:tc>
        <w:tc>
          <w:tcPr>
            <w:tcW w:type="dxa" w:w="2864"/>
          </w:tcPr>
          <w:p>
            <w:pPr>
              <w:spacing w:after="20"/>
            </w:pPr>
            <w:r/>
            <w:r>
              <w:rPr>
                <w:rFonts w:ascii="Times New Roman" w:hAnsi="Times New Roman"/>
                <w:sz w:val="17"/>
              </w:rPr>
              <w:t>Battery autonomy during intra-hospital transport (hours)</w:t>
            </w:r>
          </w:p>
        </w:tc>
        <w:tc>
          <w:tcPr>
            <w:tcW w:type="dxa" w:w="1187"/>
          </w:tcPr>
          <w:p>
            <w:pPr>
              <w:spacing w:after="20"/>
            </w:pPr>
            <w:r/>
            <w:r>
              <w:rPr>
                <w:rFonts w:ascii="Times New Roman" w:hAnsi="Times New Roman"/>
                <w:sz w:val="17"/>
              </w:rPr>
              <w:t>Nurse</w:t>
            </w:r>
          </w:p>
        </w:tc>
        <w:tc>
          <w:tcPr>
            <w:tcW w:type="dxa" w:w="4680"/>
          </w:tcPr>
          <w:p>
            <w:pPr>
              <w:spacing w:after="20"/>
            </w:pPr>
            <w:r/>
            <w:r>
              <w:rPr>
                <w:rFonts w:ascii="Times New Roman" w:hAnsi="Times New Roman"/>
                <w:sz w:val="17"/>
              </w:rPr>
              <w:t>Spoken, and more is straightforwardly better up to the length of a transport.</w:t>
            </w:r>
          </w:p>
        </w:tc>
      </w:tr>
      <w:tr>
        <w:tc>
          <w:tcPr>
            <w:tcW w:type="dxa" w:w="629"/>
          </w:tcPr>
          <w:p>
            <w:pPr>
              <w:spacing w:after="20"/>
            </w:pPr>
            <w:r/>
            <w:r>
              <w:rPr>
                <w:rFonts w:ascii="Times New Roman" w:hAnsi="Times New Roman"/>
                <w:b/>
                <w:sz w:val="17"/>
              </w:rPr>
              <w:t>U1</w:t>
            </w:r>
          </w:p>
        </w:tc>
        <w:tc>
          <w:tcPr>
            <w:tcW w:type="dxa" w:w="2864"/>
          </w:tcPr>
          <w:p>
            <w:pPr>
              <w:spacing w:after="20"/>
            </w:pPr>
            <w:r/>
            <w:r>
              <w:rPr>
                <w:rFonts w:ascii="Times New Roman" w:hAnsi="Times New Roman"/>
                <w:sz w:val="17"/>
              </w:rPr>
              <w:t>Microclimate control — skin temperature and humidity at the support interface</w:t>
            </w:r>
          </w:p>
        </w:tc>
        <w:tc>
          <w:tcPr>
            <w:tcW w:type="dxa" w:w="1187"/>
          </w:tcPr>
          <w:p>
            <w:pPr>
              <w:spacing w:after="20"/>
            </w:pPr>
            <w:r/>
            <w:r>
              <w:rPr>
                <w:rFonts w:ascii="Times New Roman" w:hAnsi="Times New Roman"/>
                <w:sz w:val="17"/>
              </w:rPr>
              <w:t>Patient</w:t>
            </w:r>
          </w:p>
        </w:tc>
        <w:tc>
          <w:tcPr>
            <w:tcW w:type="dxa" w:w="4680"/>
          </w:tcPr>
          <w:p>
            <w:pPr>
              <w:spacing w:after="20"/>
            </w:pPr>
            <w:r/>
            <w:r>
              <w:rPr>
                <w:rFonts w:ascii="Times New Roman" w:hAnsi="Times New Roman"/>
                <w:sz w:val="17"/>
              </w:rPr>
              <w:t>Nobody requests it, but moisture and heat drive maceration and lower the tissue tolerance to deformation. Absence shows up as a wound, not a complaint.</w:t>
            </w:r>
          </w:p>
        </w:tc>
      </w:tr>
      <w:tr>
        <w:tc>
          <w:tcPr>
            <w:tcW w:type="dxa" w:w="629"/>
          </w:tcPr>
          <w:p>
            <w:pPr>
              <w:spacing w:after="20"/>
            </w:pPr>
            <w:r/>
            <w:r>
              <w:rPr>
                <w:rFonts w:ascii="Times New Roman" w:hAnsi="Times New Roman"/>
                <w:b/>
                <w:sz w:val="17"/>
              </w:rPr>
              <w:t>U2</w:t>
            </w:r>
          </w:p>
        </w:tc>
        <w:tc>
          <w:tcPr>
            <w:tcW w:type="dxa" w:w="2864"/>
          </w:tcPr>
          <w:p>
            <w:pPr>
              <w:spacing w:after="20"/>
            </w:pPr>
            <w:r/>
            <w:r>
              <w:rPr>
                <w:rFonts w:ascii="Times New Roman" w:hAnsi="Times New Roman"/>
                <w:sz w:val="17"/>
              </w:rPr>
              <w:t>Shear and friction management in the cover and slip layers</w:t>
            </w:r>
          </w:p>
        </w:tc>
        <w:tc>
          <w:tcPr>
            <w:tcW w:type="dxa" w:w="1187"/>
          </w:tcPr>
          <w:p>
            <w:pPr>
              <w:spacing w:after="20"/>
            </w:pPr>
            <w:r/>
            <w:r>
              <w:rPr>
                <w:rFonts w:ascii="Times New Roman" w:hAnsi="Times New Roman"/>
                <w:sz w:val="17"/>
              </w:rPr>
              <w:t>Patient, nurse</w:t>
            </w:r>
          </w:p>
        </w:tc>
        <w:tc>
          <w:tcPr>
            <w:tcW w:type="dxa" w:w="4680"/>
          </w:tcPr>
          <w:p>
            <w:pPr>
              <w:spacing w:after="20"/>
            </w:pPr>
            <w:r/>
            <w:r>
              <w:rPr>
                <w:rFonts w:ascii="Times New Roman" w:hAnsi="Times New Roman"/>
                <w:sz w:val="17"/>
              </w:rPr>
              <w:t>Shear is a primary etiological contributor yet is never named by users, who instead report that patients slide down the bed.</w:t>
            </w:r>
          </w:p>
        </w:tc>
      </w:tr>
      <w:tr>
        <w:tc>
          <w:tcPr>
            <w:tcW w:type="dxa" w:w="629"/>
          </w:tcPr>
          <w:p>
            <w:pPr>
              <w:spacing w:after="20"/>
            </w:pPr>
            <w:r/>
            <w:r>
              <w:rPr>
                <w:rFonts w:ascii="Times New Roman" w:hAnsi="Times New Roman"/>
                <w:b/>
                <w:sz w:val="17"/>
              </w:rPr>
              <w:t>U3</w:t>
            </w:r>
          </w:p>
        </w:tc>
        <w:tc>
          <w:tcPr>
            <w:tcW w:type="dxa" w:w="2864"/>
          </w:tcPr>
          <w:p>
            <w:pPr>
              <w:spacing w:after="20"/>
            </w:pPr>
            <w:r/>
            <w:r>
              <w:rPr>
                <w:rFonts w:ascii="Times New Roman" w:hAnsi="Times New Roman"/>
                <w:sz w:val="17"/>
              </w:rPr>
              <w:t>Low false-alarm rate on any monitoring function</w:t>
            </w:r>
          </w:p>
        </w:tc>
        <w:tc>
          <w:tcPr>
            <w:tcW w:type="dxa" w:w="1187"/>
          </w:tcPr>
          <w:p>
            <w:pPr>
              <w:spacing w:after="20"/>
            </w:pPr>
            <w:r/>
            <w:r>
              <w:rPr>
                <w:rFonts w:ascii="Times New Roman" w:hAnsi="Times New Roman"/>
                <w:sz w:val="17"/>
              </w:rPr>
              <w:t>Nurse</w:t>
            </w:r>
          </w:p>
        </w:tc>
        <w:tc>
          <w:tcPr>
            <w:tcW w:type="dxa" w:w="4680"/>
          </w:tcPr>
          <w:p>
            <w:pPr>
              <w:spacing w:after="20"/>
            </w:pPr>
            <w:r/>
            <w:r>
              <w:rPr>
                <w:rFonts w:ascii="Times New Roman" w:hAnsi="Times New Roman"/>
                <w:sz w:val="17"/>
              </w:rPr>
              <w:t>Never specified in advance; if violated it produces alarm fatigue and the feature is switched off, which is a silent product failure.</w:t>
            </w:r>
          </w:p>
        </w:tc>
      </w:tr>
      <w:tr>
        <w:tc>
          <w:tcPr>
            <w:tcW w:type="dxa" w:w="629"/>
          </w:tcPr>
          <w:p>
            <w:pPr>
              <w:spacing w:after="20"/>
            </w:pPr>
            <w:r/>
            <w:r>
              <w:rPr>
                <w:rFonts w:ascii="Times New Roman" w:hAnsi="Times New Roman"/>
                <w:b/>
                <w:sz w:val="17"/>
              </w:rPr>
              <w:t>U4</w:t>
            </w:r>
          </w:p>
        </w:tc>
        <w:tc>
          <w:tcPr>
            <w:tcW w:type="dxa" w:w="2864"/>
          </w:tcPr>
          <w:p>
            <w:pPr>
              <w:spacing w:after="20"/>
            </w:pPr>
            <w:r/>
            <w:r>
              <w:rPr>
                <w:rFonts w:ascii="Times New Roman" w:hAnsi="Times New Roman"/>
                <w:sz w:val="17"/>
              </w:rPr>
              <w:t>Preserves the patient’s own ability to shift position</w:t>
            </w:r>
          </w:p>
        </w:tc>
        <w:tc>
          <w:tcPr>
            <w:tcW w:type="dxa" w:w="1187"/>
          </w:tcPr>
          <w:p>
            <w:pPr>
              <w:spacing w:after="20"/>
            </w:pPr>
            <w:r/>
            <w:r>
              <w:rPr>
                <w:rFonts w:ascii="Times New Roman" w:hAnsi="Times New Roman"/>
                <w:sz w:val="17"/>
              </w:rPr>
              <w:t>Patient</w:t>
            </w:r>
          </w:p>
        </w:tc>
        <w:tc>
          <w:tcPr>
            <w:tcW w:type="dxa" w:w="4680"/>
          </w:tcPr>
          <w:p>
            <w:pPr>
              <w:spacing w:after="20"/>
            </w:pPr>
            <w:r/>
            <w:r>
              <w:rPr>
                <w:rFonts w:ascii="Times New Roman" w:hAnsi="Times New Roman"/>
                <w:sz w:val="17"/>
              </w:rPr>
              <w:t>An over-immobilising surface removes the micro-movements patients make for themselves. Articulated by nobody, felt by everybody.</w:t>
            </w:r>
          </w:p>
        </w:tc>
      </w:tr>
      <w:tr>
        <w:tc>
          <w:tcPr>
            <w:tcW w:type="dxa" w:w="629"/>
          </w:tcPr>
          <w:p>
            <w:pPr>
              <w:spacing w:after="20"/>
            </w:pPr>
            <w:r/>
            <w:r>
              <w:rPr>
                <w:rFonts w:ascii="Times New Roman" w:hAnsi="Times New Roman"/>
                <w:b/>
                <w:sz w:val="17"/>
              </w:rPr>
              <w:t>X1a</w:t>
            </w:r>
          </w:p>
        </w:tc>
        <w:tc>
          <w:tcPr>
            <w:tcW w:type="dxa" w:w="2864"/>
          </w:tcPr>
          <w:p>
            <w:pPr>
              <w:spacing w:after="20"/>
            </w:pPr>
            <w:r/>
            <w:r>
              <w:rPr>
                <w:rFonts w:ascii="Times New Roman" w:hAnsi="Times New Roman"/>
                <w:sz w:val="17"/>
              </w:rPr>
              <w:t>Early tissue-damage detection — handheld spot-check at the sacrum and heels</w:t>
            </w:r>
          </w:p>
        </w:tc>
        <w:tc>
          <w:tcPr>
            <w:tcW w:type="dxa" w:w="1187"/>
          </w:tcPr>
          <w:p>
            <w:pPr>
              <w:spacing w:after="20"/>
            </w:pPr>
            <w:r/>
            <w:r>
              <w:rPr>
                <w:rFonts w:ascii="Times New Roman" w:hAnsi="Times New Roman"/>
                <w:sz w:val="17"/>
              </w:rPr>
              <w:t>Nurse, physician</w:t>
            </w:r>
          </w:p>
        </w:tc>
        <w:tc>
          <w:tcPr>
            <w:tcW w:type="dxa" w:w="4680"/>
          </w:tcPr>
          <w:p>
            <w:pPr>
              <w:spacing w:after="20"/>
            </w:pPr>
            <w:r/>
            <w:r>
              <w:rPr>
                <w:rFonts w:ascii="Times New Roman" w:hAnsi="Times New Roman"/>
                <w:sz w:val="17"/>
              </w:rPr>
              <w:t>A delighter at low investment: it reveals damage before it is visible, but requires staff to remember to scan.</w:t>
            </w:r>
          </w:p>
        </w:tc>
      </w:tr>
      <w:tr>
        <w:tc>
          <w:tcPr>
            <w:tcW w:type="dxa" w:w="629"/>
          </w:tcPr>
          <w:p>
            <w:pPr>
              <w:spacing w:after="20"/>
            </w:pPr>
            <w:r/>
            <w:r>
              <w:rPr>
                <w:rFonts w:ascii="Times New Roman" w:hAnsi="Times New Roman"/>
                <w:b/>
                <w:sz w:val="17"/>
              </w:rPr>
              <w:t>X1b</w:t>
            </w:r>
          </w:p>
        </w:tc>
        <w:tc>
          <w:tcPr>
            <w:tcW w:type="dxa" w:w="2864"/>
          </w:tcPr>
          <w:p>
            <w:pPr>
              <w:spacing w:after="20"/>
            </w:pPr>
            <w:r/>
            <w:r>
              <w:rPr>
                <w:rFonts w:ascii="Times New Roman" w:hAnsi="Times New Roman"/>
                <w:sz w:val="17"/>
              </w:rPr>
              <w:t>Early tissue-damage detection — continuous embedded sensing with per-patient trending</w:t>
            </w:r>
          </w:p>
        </w:tc>
        <w:tc>
          <w:tcPr>
            <w:tcW w:type="dxa" w:w="1187"/>
          </w:tcPr>
          <w:p>
            <w:pPr>
              <w:spacing w:after="20"/>
            </w:pPr>
            <w:r/>
            <w:r>
              <w:rPr>
                <w:rFonts w:ascii="Times New Roman" w:hAnsi="Times New Roman"/>
                <w:sz w:val="17"/>
              </w:rPr>
              <w:t>Nurse, physician</w:t>
            </w:r>
          </w:p>
        </w:tc>
        <w:tc>
          <w:tcPr>
            <w:tcW w:type="dxa" w:w="4680"/>
          </w:tcPr>
          <w:p>
            <w:pPr>
              <w:spacing w:after="20"/>
            </w:pPr>
            <w:r/>
            <w:r>
              <w:rPr>
                <w:rFonts w:ascii="Times New Roman" w:hAnsi="Times New Roman"/>
                <w:sz w:val="17"/>
              </w:rPr>
              <w:t>Same feature fully implemented. Removes the compliance dependency entirely, so it sits far right on the exciter curve.</w:t>
            </w:r>
          </w:p>
        </w:tc>
      </w:tr>
      <w:tr>
        <w:tc>
          <w:tcPr>
            <w:tcW w:type="dxa" w:w="629"/>
          </w:tcPr>
          <w:p>
            <w:pPr>
              <w:spacing w:after="20"/>
            </w:pPr>
            <w:r/>
            <w:r>
              <w:rPr>
                <w:rFonts w:ascii="Times New Roman" w:hAnsi="Times New Roman"/>
                <w:b/>
                <w:sz w:val="17"/>
              </w:rPr>
              <w:t>X2</w:t>
            </w:r>
          </w:p>
        </w:tc>
        <w:tc>
          <w:tcPr>
            <w:tcW w:type="dxa" w:w="2864"/>
          </w:tcPr>
          <w:p>
            <w:pPr>
              <w:spacing w:after="20"/>
            </w:pPr>
            <w:r/>
            <w:r>
              <w:rPr>
                <w:rFonts w:ascii="Times New Roman" w:hAnsi="Times New Roman"/>
                <w:sz w:val="17"/>
              </w:rPr>
              <w:t>Detection performance independent of patient skin tone</w:t>
            </w:r>
          </w:p>
        </w:tc>
        <w:tc>
          <w:tcPr>
            <w:tcW w:type="dxa" w:w="1187"/>
          </w:tcPr>
          <w:p>
            <w:pPr>
              <w:spacing w:after="20"/>
            </w:pPr>
            <w:r/>
            <w:r>
              <w:rPr>
                <w:rFonts w:ascii="Times New Roman" w:hAnsi="Times New Roman"/>
                <w:sz w:val="17"/>
              </w:rPr>
              <w:t>Patient, physician</w:t>
            </w:r>
          </w:p>
        </w:tc>
        <w:tc>
          <w:tcPr>
            <w:tcW w:type="dxa" w:w="4680"/>
          </w:tcPr>
          <w:p>
            <w:pPr>
              <w:spacing w:after="20"/>
            </w:pPr>
            <w:r/>
            <w:r>
              <w:rPr>
                <w:rFonts w:ascii="Times New Roman" w:hAnsi="Times New Roman"/>
                <w:sz w:val="17"/>
              </w:rPr>
              <w:t>Visual assessment systematically under-detects early injury in darkly pigmented skin. A measurement that does not depend on seeing colour change is a genuine differentiator.</w:t>
            </w:r>
          </w:p>
        </w:tc>
      </w:tr>
      <w:tr>
        <w:tc>
          <w:tcPr>
            <w:tcW w:type="dxa" w:w="629"/>
          </w:tcPr>
          <w:p>
            <w:pPr>
              <w:spacing w:after="20"/>
            </w:pPr>
            <w:r/>
            <w:r>
              <w:rPr>
                <w:rFonts w:ascii="Times New Roman" w:hAnsi="Times New Roman"/>
                <w:b/>
                <w:sz w:val="17"/>
              </w:rPr>
              <w:t>X3</w:t>
            </w:r>
          </w:p>
        </w:tc>
        <w:tc>
          <w:tcPr>
            <w:tcW w:type="dxa" w:w="2864"/>
          </w:tcPr>
          <w:p>
            <w:pPr>
              <w:spacing w:after="20"/>
            </w:pPr>
            <w:r/>
            <w:r>
              <w:rPr>
                <w:rFonts w:ascii="Times New Roman" w:hAnsi="Times New Roman"/>
                <w:sz w:val="17"/>
              </w:rPr>
              <w:t>Automated lateral turn assist that repositions without manual lifting</w:t>
            </w:r>
          </w:p>
        </w:tc>
        <w:tc>
          <w:tcPr>
            <w:tcW w:type="dxa" w:w="1187"/>
          </w:tcPr>
          <w:p>
            <w:pPr>
              <w:spacing w:after="20"/>
            </w:pPr>
            <w:r/>
            <w:r>
              <w:rPr>
                <w:rFonts w:ascii="Times New Roman" w:hAnsi="Times New Roman"/>
                <w:sz w:val="17"/>
              </w:rPr>
              <w:t>Patient, nurse</w:t>
            </w:r>
          </w:p>
        </w:tc>
        <w:tc>
          <w:tcPr>
            <w:tcW w:type="dxa" w:w="4680"/>
          </w:tcPr>
          <w:p>
            <w:pPr>
              <w:spacing w:after="20"/>
            </w:pPr>
            <w:r/>
            <w:r>
              <w:rPr>
                <w:rFonts w:ascii="Times New Roman" w:hAnsi="Times New Roman"/>
                <w:sz w:val="17"/>
              </w:rPr>
              <w:t>Removes the single most injury-prone task from the nursing workload. Unexpected, and delightful when present.</w:t>
            </w:r>
          </w:p>
        </w:tc>
      </w:tr>
      <w:tr>
        <w:tc>
          <w:tcPr>
            <w:tcW w:type="dxa" w:w="629"/>
          </w:tcPr>
          <w:p>
            <w:pPr>
              <w:spacing w:after="20"/>
            </w:pPr>
            <w:r/>
            <w:r>
              <w:rPr>
                <w:rFonts w:ascii="Times New Roman" w:hAnsi="Times New Roman"/>
                <w:b/>
                <w:sz w:val="17"/>
              </w:rPr>
              <w:t>X4</w:t>
            </w:r>
          </w:p>
        </w:tc>
        <w:tc>
          <w:tcPr>
            <w:tcW w:type="dxa" w:w="2864"/>
          </w:tcPr>
          <w:p>
            <w:pPr>
              <w:spacing w:after="20"/>
            </w:pPr>
            <w:r/>
            <w:r>
              <w:rPr>
                <w:rFonts w:ascii="Times New Roman" w:hAnsi="Times New Roman"/>
                <w:sz w:val="17"/>
              </w:rPr>
              <w:t>Repositioning interval set by measured tissue response rather than a fixed two-hour clock</w:t>
            </w:r>
          </w:p>
        </w:tc>
        <w:tc>
          <w:tcPr>
            <w:tcW w:type="dxa" w:w="1187"/>
          </w:tcPr>
          <w:p>
            <w:pPr>
              <w:spacing w:after="20"/>
            </w:pPr>
            <w:r/>
            <w:r>
              <w:rPr>
                <w:rFonts w:ascii="Times New Roman" w:hAnsi="Times New Roman"/>
                <w:sz w:val="17"/>
              </w:rPr>
              <w:t>Physician</w:t>
            </w:r>
          </w:p>
        </w:tc>
        <w:tc>
          <w:tcPr>
            <w:tcW w:type="dxa" w:w="4680"/>
          </w:tcPr>
          <w:p>
            <w:pPr>
              <w:spacing w:after="20"/>
            </w:pPr>
            <w:r/>
            <w:r>
              <w:rPr>
                <w:rFonts w:ascii="Times New Roman" w:hAnsi="Times New Roman"/>
                <w:sz w:val="17"/>
              </w:rPr>
              <w:t>Replaces a convention of unclear evidentiary basis with a per-patient measurement. Nobody asks for it because nobody believes it is possible.</w:t>
            </w:r>
          </w:p>
        </w:tc>
      </w:tr>
      <w:tr>
        <w:tc>
          <w:tcPr>
            <w:tcW w:type="dxa" w:w="629"/>
          </w:tcPr>
          <w:p>
            <w:pPr>
              <w:spacing w:after="20"/>
            </w:pPr>
            <w:r/>
            <w:r>
              <w:rPr>
                <w:rFonts w:ascii="Times New Roman" w:hAnsi="Times New Roman"/>
                <w:b/>
                <w:sz w:val="17"/>
              </w:rPr>
              <w:t>I1</w:t>
            </w:r>
          </w:p>
        </w:tc>
        <w:tc>
          <w:tcPr>
            <w:tcW w:type="dxa" w:w="2864"/>
          </w:tcPr>
          <w:p>
            <w:pPr>
              <w:spacing w:after="20"/>
            </w:pPr>
            <w:r/>
            <w:r>
              <w:rPr>
                <w:rFonts w:ascii="Times New Roman" w:hAnsi="Times New Roman"/>
                <w:sz w:val="17"/>
              </w:rPr>
              <w:t>Choice of cover colour</w:t>
            </w:r>
          </w:p>
        </w:tc>
        <w:tc>
          <w:tcPr>
            <w:tcW w:type="dxa" w:w="1187"/>
          </w:tcPr>
          <w:p>
            <w:pPr>
              <w:spacing w:after="20"/>
            </w:pPr>
            <w:r/>
            <w:r>
              <w:rPr>
                <w:rFonts w:ascii="Times New Roman" w:hAnsi="Times New Roman"/>
                <w:sz w:val="17"/>
              </w:rPr>
              <w:t>—</w:t>
            </w:r>
          </w:p>
        </w:tc>
        <w:tc>
          <w:tcPr>
            <w:tcW w:type="dxa" w:w="4680"/>
          </w:tcPr>
          <w:p>
            <w:pPr>
              <w:spacing w:after="20"/>
            </w:pPr>
            <w:r/>
            <w:r>
              <w:rPr>
                <w:rFonts w:ascii="Times New Roman" w:hAnsi="Times New Roman"/>
                <w:sz w:val="17"/>
              </w:rPr>
              <w:t>Indifferent: implementing it well or badly moves satisfaction essentially not at all. Included to complete the Dieter format.</w:t>
            </w:r>
          </w:p>
        </w:tc>
      </w:tr>
    </w:tbl>
    <w:p>
      <w:pPr>
        <w:keepNext/>
        <w:spacing w:before="220" w:after="80"/>
      </w:pPr>
      <w:r>
        <w:rPr>
          <w:rFonts w:ascii="Times New Roman" w:hAnsi="Times New Roman"/>
          <w:b/>
          <w:color w:val="1F3B73"/>
          <w:sz w:val="23"/>
        </w:rPr>
        <w:t>On Levels of Implementation</w:t>
      </w:r>
    </w:p>
    <w:p>
      <w:pPr>
        <w:spacing w:after="140"/>
        <w:jc w:val="both"/>
      </w:pPr>
      <w:r>
        <w:rPr>
          <w:rFonts w:ascii="Times New Roman" w:hAnsi="Times New Roman"/>
        </w:rPr>
        <w:t xml:space="preserve">Two requirements are shown at two investment levels, as the assignment invites. </w:t>
      </w:r>
      <w:r>
        <w:rPr>
          <w:rFonts w:ascii="Times New Roman" w:hAnsi="Times New Roman"/>
          <w:b/>
        </w:rPr>
        <w:t>E4a→E4b</w:t>
      </w:r>
      <w:r>
        <w:rPr>
          <w:rFonts w:ascii="Times New Roman" w:hAnsi="Times New Roman"/>
        </w:rPr>
        <w:t xml:space="preserve"> stays on the basic curve: extending weight capacity is expensive but it never becomes a delighter, because capacity is something a buyer assumes rather than admires — the extra investment buys the right to be considered, not enthusiasm. </w:t>
      </w:r>
      <w:r>
        <w:rPr>
          <w:rFonts w:ascii="Times New Roman" w:hAnsi="Times New Roman"/>
          <w:b/>
        </w:rPr>
        <w:t>X1a→X1b</w:t>
      </w:r>
      <w:r>
        <w:rPr>
          <w:rFonts w:ascii="Times New Roman" w:hAnsi="Times New Roman"/>
        </w:rPr>
        <w:t xml:space="preserve"> behaves differently: a handheld spot-check device already surprises clinicians, but it inherits the compliance problem of anything that must be remembered. Making the same function continuous and automatic moves it far to the right on the exciter curve, where the satisfaction return on additional investment is steepest. The contrast is the practical lesson of the diagram: </w:t>
      </w:r>
      <w:r>
        <w:rPr>
          <w:rFonts w:ascii="Times New Roman" w:hAnsi="Times New Roman"/>
          <w:b/>
        </w:rPr>
        <w:t>the same incremental dollar buys very different satisfaction depending on which curve the feature lives on</w:t>
      </w:r>
      <w:r>
        <w:rPr>
          <w:rFonts w:ascii="Times New Roman" w:hAnsi="Times New Roman"/>
        </w:rPr>
        <w:t>, and a programme that spends its margin perfecting basics while leaving exciters at minimum implementation will produce a product that offends nobody and attracts nobody.</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