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Module 8 Ethnography Assignment</w:t>
      </w:r>
    </w:p>
    <w:p>
      <w:pPr>
        <w:spacing w:after="240"/>
        <w:jc w:val="center"/>
      </w:pPr>
      <w:r>
        <w:rPr>
          <w:rFonts w:ascii="Times New Roman" w:hAnsi="Times New Roman"/>
          <w:sz w:val="20"/>
        </w:rPr>
        <w:t>585.617 Rehabilitation Engineering | 〈Your Name〉 | 〈Date〉</w:t>
      </w:r>
    </w:p>
    <w:p>
      <w:pPr>
        <w:keepNext/>
        <w:spacing w:before="80" w:after="80"/>
      </w:pPr>
      <w:r>
        <w:rPr>
          <w:rFonts w:ascii="Times New Roman" w:hAnsi="Times New Roman"/>
          <w:b/>
          <w:color w:val="1F3B73"/>
          <w:sz w:val="24"/>
        </w:rPr>
        <w:t>Video and Segment</w:t>
      </w:r>
    </w:p>
    <w:p>
      <w:pPr>
        <w:spacing w:after="140"/>
      </w:pPr>
      <w:r>
        <w:rPr>
          <w:rFonts w:ascii="Times New Roman" w:hAnsi="Times New Roman"/>
          <w:b/>
        </w:rPr>
        <w:t>Video:</w:t>
      </w:r>
      <w:r>
        <w:rPr>
          <w:rFonts w:ascii="Times New Roman" w:hAnsi="Times New Roman"/>
        </w:rPr>
        <w:t xml:space="preserve"> </w:t>
      </w:r>
      <w:r>
        <w:rPr>
          <w:rFonts w:ascii="Times New Roman" w:hAnsi="Times New Roman"/>
          <w:i/>
        </w:rPr>
        <w:t>Inpatient Rehabilitation Unit | Kennedy Krieger Institute</w:t>
      </w:r>
      <w:r>
        <w:rPr>
          <w:rFonts w:ascii="Times New Roman" w:hAnsi="Times New Roman"/>
        </w:rPr>
        <w:t>, https://www.youtube.com/watch?v=GABVP6ktGeY</w:t>
      </w:r>
    </w:p>
    <w:p>
      <w:pPr>
        <w:spacing w:after="140"/>
      </w:pPr>
      <w:r>
        <w:rPr>
          <w:rFonts w:ascii="Times New Roman" w:hAnsi="Times New Roman"/>
          <w:b/>
        </w:rPr>
        <w:t>Segment of interest:</w:t>
      </w:r>
      <w:r>
        <w:rPr>
          <w:rFonts w:ascii="Times New Roman" w:hAnsi="Times New Roman"/>
        </w:rPr>
        <w:t xml:space="preserve"> 3:01 – 3:17, the aquatic therapy center.</w:t>
      </w:r>
    </w:p>
    <w:p>
      <w:pPr>
        <w:spacing w:after="140"/>
        <w:jc w:val="both"/>
      </w:pPr>
      <w:r>
        <w:rPr>
          <w:rFonts w:ascii="Times New Roman" w:hAnsi="Times New Roman"/>
          <w:b/>
        </w:rPr>
        <w:t>Setting:</w:t>
      </w:r>
      <w:r>
        <w:rPr>
          <w:rFonts w:ascii="Times New Roman" w:hAnsi="Times New Roman"/>
        </w:rPr>
        <w:t xml:space="preserve"> the inpatient pediatric rehabilitation unit on the third floor of Kennedy Krieger Institute, a 25-bed unit accredited by CARF and the Joint Commission, treating individuals up to age 21 with brain and spinal cord injuries and disorders, pain disorders, complex medical conditions and orthopedic conditions.</w:t>
      </w:r>
    </w:p>
    <w:p>
      <w:pPr>
        <w:keepNext/>
        <w:spacing w:before="200" w:after="80"/>
      </w:pPr>
      <w:r>
        <w:rPr>
          <w:rFonts w:ascii="Times New Roman" w:hAnsi="Times New Roman"/>
          <w:b/>
          <w:color w:val="1F3B73"/>
          <w:sz w:val="24"/>
        </w:rPr>
        <w:t>Part 1 — Task Analysis</w:t>
      </w:r>
    </w:p>
    <w:p>
      <w:pPr>
        <w:spacing w:after="140"/>
        <w:jc w:val="both"/>
      </w:pPr>
      <w:r>
        <w:rPr>
          <w:rFonts w:ascii="Times New Roman" w:hAnsi="Times New Roman"/>
        </w:rPr>
        <w:t xml:space="preserve">Figure 1 is the workflow for entering the aquatic therapy pool, which is the activity the narration describes across this segment. The notation follows the module lecture: an </w:t>
      </w:r>
      <w:r>
        <w:rPr>
          <w:rFonts w:ascii="Times New Roman" w:hAnsi="Times New Roman"/>
          <w:b/>
        </w:rPr>
        <w:t>oval</w:t>
      </w:r>
      <w:r>
        <w:rPr>
          <w:rFonts w:ascii="Times New Roman" w:hAnsi="Times New Roman"/>
        </w:rPr>
        <w:t xml:space="preserve"> is a delimiter, a </w:t>
      </w:r>
      <w:r>
        <w:rPr>
          <w:rFonts w:ascii="Times New Roman" w:hAnsi="Times New Roman"/>
          <w:b/>
        </w:rPr>
        <w:t>diamond</w:t>
      </w:r>
      <w:r>
        <w:rPr>
          <w:rFonts w:ascii="Times New Roman" w:hAnsi="Times New Roman"/>
        </w:rPr>
        <w:t xml:space="preserve"> is a decision point where the workflow can branch, a </w:t>
      </w:r>
      <w:r>
        <w:rPr>
          <w:rFonts w:ascii="Times New Roman" w:hAnsi="Times New Roman"/>
          <w:b/>
        </w:rPr>
        <w:t>plain box</w:t>
      </w:r>
      <w:r>
        <w:rPr>
          <w:rFonts w:ascii="Times New Roman" w:hAnsi="Times New Roman"/>
        </w:rPr>
        <w:t xml:space="preserve"> is an ordinary task, and a </w:t>
      </w:r>
      <w:r>
        <w:rPr>
          <w:rFonts w:ascii="Times New Roman" w:hAnsi="Times New Roman"/>
          <w:b/>
        </w:rPr>
        <w:t>red-outlined box</w:t>
      </w:r>
      <w:r>
        <w:rPr>
          <w:rFonts w:ascii="Times New Roman" w:hAnsi="Times New Roman"/>
        </w:rPr>
        <w:t xml:space="preserve"> is a task that was difficult to perform.</w:t>
      </w:r>
    </w:p>
    <w:p>
      <w:pPr>
        <w:spacing w:after="140"/>
        <w:jc w:val="both"/>
      </w:pPr>
      <w:r>
        <w:rPr>
          <w:rFonts w:ascii="Times New Roman" w:hAnsi="Times New Roman"/>
        </w:rPr>
        <w:t>Two decision points are included because the narration establishes that the pool floors operate on lifts, which means floor height is set rather than fixed, and a set value can be wrong twice: once at deck level for entry, and again at therapy depth for standing. Both branches loop rather than terminate, which is characteristic of this workflow — nothing fails outright, it just repeats until it is right, and the cost of being wrong is paid in time and in patient fatigue rather than in an abandoned session.</w:t>
      </w:r>
    </w:p>
    <w:p>
      <w:pPr>
        <w:keepNext/>
        <w:spacing w:before="120"/>
        <w:jc w:val="center"/>
      </w:pPr>
      <w:r>
        <w:drawing>
          <wp:inline xmlns:a="http://schemas.openxmlformats.org/drawingml/2006/main" xmlns:pic="http://schemas.openxmlformats.org/drawingml/2006/picture">
            <wp:extent cx="5852160" cy="2733303"/>
            <wp:docPr id="1" name="Picture 1"/>
            <wp:cNvGraphicFramePr>
              <a:graphicFrameLocks noChangeAspect="1"/>
            </wp:cNvGraphicFramePr>
            <a:graphic>
              <a:graphicData uri="http://schemas.openxmlformats.org/drawingml/2006/picture">
                <pic:pic>
                  <pic:nvPicPr>
                    <pic:cNvPr id="0" name="fig1_task_analysis.png"/>
                    <pic:cNvPicPr/>
                  </pic:nvPicPr>
                  <pic:blipFill>
                    <a:blip r:embed="rId9"/>
                    <a:stretch>
                      <a:fillRect/>
                    </a:stretch>
                  </pic:blipFill>
                  <pic:spPr>
                    <a:xfrm>
                      <a:off x="0" y="0"/>
                      <a:ext cx="5852160" cy="2733303"/>
                    </a:xfrm>
                    <a:prstGeom prst="rect"/>
                  </pic:spPr>
                </pic:pic>
              </a:graphicData>
            </a:graphic>
          </wp:inline>
        </w:drawing>
      </w:r>
    </w:p>
    <w:p>
      <w:pPr>
        <w:spacing w:after="200"/>
        <w:jc w:val="center"/>
      </w:pPr>
      <w:r>
        <w:rPr>
          <w:rFonts w:ascii="Times New Roman" w:hAnsi="Times New Roman"/>
          <w:sz w:val="18"/>
        </w:rPr>
        <w:t>Figure 1. Task analysis of pool entry for a wheelchair user, 3:01–3:17.</w:t>
      </w:r>
    </w:p>
    <w:p>
      <w:pPr>
        <w:spacing w:after="140"/>
        <w:jc w:val="both"/>
      </w:pPr>
      <w:r>
        <w:rPr>
          <w:rFonts w:ascii="Times New Roman" w:hAnsi="Times New Roman"/>
        </w:rPr>
        <w:t xml:space="preserve">The two steps outlined in red are </w:t>
      </w:r>
      <w:r>
        <w:rPr>
          <w:rFonts w:ascii="Times New Roman" w:hAnsi="Times New Roman"/>
          <w:b/>
        </w:rPr>
        <w:t>rolling the chair onto the pool floor</w:t>
      </w:r>
      <w:r>
        <w:rPr>
          <w:rFonts w:ascii="Times New Roman" w:hAnsi="Times New Roman"/>
        </w:rPr>
        <w:t xml:space="preserve"> and </w:t>
      </w:r>
      <w:r>
        <w:rPr>
          <w:rFonts w:ascii="Times New Roman" w:hAnsi="Times New Roman"/>
          <w:b/>
        </w:rPr>
        <w:t>standing up in water</w:t>
      </w:r>
      <w:r>
        <w:rPr>
          <w:rFonts w:ascii="Times New Roman" w:hAnsi="Times New Roman"/>
        </w:rPr>
        <w:t>. These are the two points in the sequence where the patient, rather than the equipment or the therapist, has to supply the critical effort, and they are the two steps that can be repeated without the workflow advancing. The step carried forward for detailed analysis is 〈name whichever of the two the patient in the segment visibly struggled with〉.</w:t>
      </w:r>
    </w:p>
    <w:p>
      <w:pPr>
        <w:keepNext/>
        <w:spacing w:before="200" w:after="80"/>
      </w:pPr>
      <w:r>
        <w:rPr>
          <w:rFonts w:ascii="Times New Roman" w:hAnsi="Times New Roman"/>
          <w:b/>
          <w:color w:val="1F3B73"/>
          <w:sz w:val="24"/>
        </w:rPr>
        <w:t>Part 2 — Summary of the Difficult Task</w:t>
      </w:r>
    </w:p>
    <w:p>
      <w:pPr>
        <w:spacing w:after="140"/>
        <w:jc w:val="both"/>
      </w:pPr>
      <w:r>
        <w:rPr>
          <w:rFonts w:ascii="Times New Roman" w:hAnsi="Times New Roman"/>
          <w:b/>
        </w:rPr>
        <w:t>What is the context of the task?</w:t>
      </w:r>
      <w:r>
        <w:rPr>
          <w:rFonts w:ascii="Times New Roman" w:hAnsi="Times New Roman"/>
        </w:rPr>
        <w:t xml:space="preserve">  The task opens an aquatic physical therapy session. The narration states that each patient receives intensive occupational, physical and speech therapies for several hours a day, and that the aquatic therapy center features two pools offering different aquatic environments, including built-in treadmills, video monitoring systems, multiple jets for resistance, and floors that operate on lifts for barrier-free entry and exit for patients in wheelchairs. The step therefore sits at the front of the session, before any therapeutic exercise has happened. That position is what makes it worth analysing: it is a gate. Nothing in the session can begin until it succeeds, it is performed by a child whose impairment is the reason for admission, and any time or energy spent here is subtracted from the therapy itself.</w:t>
      </w:r>
    </w:p>
    <w:p>
      <w:pPr>
        <w:spacing w:after="140"/>
        <w:jc w:val="both"/>
      </w:pPr>
      <w:r>
        <w:rPr>
          <w:rFonts w:ascii="Times New Roman" w:hAnsi="Times New Roman"/>
          <w:b/>
        </w:rPr>
        <w:t>What hazards are present?</w:t>
      </w:r>
      <w:r>
        <w:rPr>
          <w:rFonts w:ascii="Times New Roman" w:hAnsi="Times New Roman"/>
        </w:rPr>
        <w:t xml:space="preserve">  Submersion if balance is lost during or after the stand. Slipping, on a wet deck, on wet tires and on a wet pool floor. Entrapment or pinching at the moving edge of the floor lift, which is a powered platform carrying a person. Shear and skin injury during the stand, which matters in a population at elevated risk of pressure injury. The chair rolling if the brakes are not locked before the floor begins to move. Water temperature. Fatigue, given several hours of therapy a day. And once on the treadmill, loss of footing against the resistance jets.</w:t>
      </w:r>
    </w:p>
    <w:p>
      <w:pPr>
        <w:spacing w:after="140"/>
        <w:jc w:val="both"/>
      </w:pPr>
      <w:r>
        <w:rPr>
          <w:rFonts w:ascii="Times New Roman" w:hAnsi="Times New Roman"/>
          <w:b/>
        </w:rPr>
        <w:t>What tools did the person use?</w:t>
      </w:r>
      <w:r>
        <w:rPr>
          <w:rFonts w:ascii="Times New Roman" w:hAnsi="Times New Roman"/>
        </w:rPr>
        <w:t xml:space="preserve">  Named in the narration: the wheelchair, the pool floor on its lifts, the built-in treadmill, the resistance jets, and the video monitoring system. Also in use but to be confirmed against the footage: the chair's wheel locks, a gait belt, any handrail at the deck-to-floor transition, and the therapist's hands and body, which function here as a guarding tool and should be counted as one.</w:t>
      </w:r>
    </w:p>
    <w:p>
      <w:pPr>
        <w:spacing w:after="140"/>
        <w:jc w:val="both"/>
      </w:pPr>
      <w:r>
        <w:rPr>
          <w:rFonts w:ascii="Times New Roman" w:hAnsi="Times New Roman"/>
          <w:b/>
        </w:rPr>
        <w:t>What task was difficult to do?</w:t>
      </w:r>
      <w:r>
        <w:rPr>
          <w:rFonts w:ascii="Times New Roman" w:hAnsi="Times New Roman"/>
        </w:rPr>
        <w:t xml:space="preserve">  〈state the single step, matching the red box in Figure 1〉</w:t>
      </w:r>
    </w:p>
    <w:p>
      <w:pPr>
        <w:spacing w:after="140"/>
        <w:jc w:val="both"/>
      </w:pPr>
      <w:r>
        <w:rPr>
          <w:rFonts w:ascii="Times New Roman" w:hAnsi="Times New Roman"/>
          <w:b/>
        </w:rPr>
        <w:t>What attitude did the person have towards doing the difficult task?</w:t>
      </w:r>
      <w:r>
        <w:rPr>
          <w:rFonts w:ascii="Times New Roman" w:hAnsi="Times New Roman"/>
        </w:rPr>
        <w:t xml:space="preserve">  〈report what was observable rather than inferred: facial expression, whether the patient initiated or waited to be prompted, whether they narrated, joked, hesitated or renegotiated, and where you are inferring rather than seeing〉</w:t>
      </w:r>
    </w:p>
    <w:p>
      <w:pPr>
        <w:spacing w:after="140"/>
        <w:jc w:val="both"/>
      </w:pPr>
      <w:r>
        <w:rPr>
          <w:rFonts w:ascii="Times New Roman" w:hAnsi="Times New Roman"/>
          <w:b/>
        </w:rPr>
        <w:t>How many attempts did it take to do the task?</w:t>
      </w:r>
      <w:r>
        <w:rPr>
          <w:rFonts w:ascii="Times New Roman" w:hAnsi="Times New Roman"/>
        </w:rPr>
        <w:t xml:space="preserve">  〈count, and state what you counted as one attempt〉</w:t>
      </w:r>
    </w:p>
    <w:p>
      <w:pPr>
        <w:spacing w:after="140"/>
        <w:jc w:val="both"/>
      </w:pPr>
      <w:r>
        <w:rPr>
          <w:rFonts w:ascii="Times New Roman" w:hAnsi="Times New Roman"/>
          <w:b/>
        </w:rPr>
        <w:t>How long did it take to do the difficult task?</w:t>
      </w:r>
      <w:r>
        <w:rPr>
          <w:rFonts w:ascii="Times New Roman" w:hAnsi="Times New Roman"/>
        </w:rPr>
        <w:t xml:space="preserve">  〈elapsed seconds, plus the elapsed time of a neighbouring ordinary step for comparison〉. The segment runs 16 seconds in total, from 3:01 to 3:17, which bounds the measurement.</w:t>
      </w:r>
    </w:p>
    <w:p>
      <w:pPr>
        <w:spacing w:after="140"/>
        <w:jc w:val="both"/>
      </w:pPr>
      <w:r>
        <w:rPr>
          <w:rFonts w:ascii="Times New Roman" w:hAnsi="Times New Roman"/>
          <w:b/>
        </w:rPr>
        <w:t>What was difficult about the task?</w:t>
      </w:r>
      <w:r>
        <w:rPr>
          <w:rFonts w:ascii="Times New Roman" w:hAnsi="Times New Roman"/>
        </w:rPr>
        <w:t xml:space="preserve">  The two candidate steps fail for different reasons, and the distinction matters because they point at different design requirements. </w:t>
      </w:r>
      <w:r>
        <w:rPr>
          <w:rFonts w:ascii="Times New Roman" w:hAnsi="Times New Roman"/>
          <w:b/>
        </w:rPr>
        <w:t>Rolling the chair onto the pool floor</w:t>
      </w:r>
      <w:r>
        <w:rPr>
          <w:rFonts w:ascii="Times New Roman" w:hAnsi="Times New Roman"/>
        </w:rPr>
        <w:t xml:space="preserve"> is a threshold crossing: small front castors catch on any lip between deck and platform, wet tires lose traction on a wet surface, and a patient propelling with reduced grip or upper limb strength has to generate a force spike at exactly the moment the surface is least predictable. </w:t>
      </w:r>
      <w:r>
        <w:rPr>
          <w:rFonts w:ascii="Times New Roman" w:hAnsi="Times New Roman"/>
          <w:b/>
        </w:rPr>
        <w:t>Standing up in water</w:t>
      </w:r>
      <w:r>
        <w:rPr>
          <w:rFonts w:ascii="Times New Roman" w:hAnsi="Times New Roman"/>
        </w:rPr>
        <w:t xml:space="preserve"> fails for the opposite reason. Buoyancy unloads the feet, so proprioceptive feedback is reduced precisely when balance is being demanded; water resistance slows every corrective movement the patient makes; the surface underfoot is slick; and the push-off geometry the patient has practised on land does not transfer. The difficulty is therefore 〈whichever applies〉, and the cause is 〈strength, range of motion, balance, pain, coordination, fear, the equipment or the environment〉 rather than the symptom visible on the surface.</w:t>
      </w:r>
    </w:p>
    <w:p>
      <w:pPr>
        <w:spacing w:after="140"/>
        <w:jc w:val="both"/>
      </w:pPr>
      <w:r>
        <w:rPr>
          <w:rFonts w:ascii="Times New Roman" w:hAnsi="Times New Roman"/>
          <w:b/>
        </w:rPr>
        <w:t>What would make it easier?</w:t>
      </w:r>
      <w:r>
        <w:rPr>
          <w:rFonts w:ascii="Times New Roman" w:hAnsi="Times New Roman"/>
        </w:rPr>
        <w:t xml:space="preserve">  At the level of the environment and the equipment: a genuinely zero-lip transition, with the floor indexing itself to deck level and confirming flush before entry is permitted, which removes the castor-catch failure entirely rather than asking the patient to overcome it; a continuous handrail carried across the deck-to-floor transition at a height usable both seated and standing; high-friction, low-glare surfacing on both sides of the transition. At the level of technique and workflow: staging the stand at a shallower depth and lowering the floor further only once the patient is upright and stable, so buoyancy assists the rise without compromising footing; and repurposing the video monitoring system the facility already owns to give the patient real-time feedback rather than serving only as staff supervision. The last of these is the cheapest, because the hardware is already installed.</w:t>
      </w:r>
    </w:p>
    <w:p>
      <w:pPr>
        <w:keepNext/>
        <w:spacing w:before="200" w:after="80"/>
      </w:pPr>
      <w:r>
        <w:rPr>
          <w:rFonts w:ascii="Times New Roman" w:hAnsi="Times New Roman"/>
          <w:b/>
          <w:color w:val="1F3B73"/>
          <w:sz w:val="24"/>
        </w:rPr>
        <w:t>Part 3 — Carrying This Into the Final Project</w:t>
      </w:r>
    </w:p>
    <w:p>
      <w:pPr>
        <w:spacing w:after="140"/>
        <w:jc w:val="both"/>
      </w:pPr>
      <w:r>
        <w:rPr>
          <w:rFonts w:ascii="Times New Roman" w:hAnsi="Times New Roman"/>
        </w:rPr>
        <w:t xml:space="preserve">The observation converts into design input in three ways. First, isolating the difficult step says </w:t>
      </w:r>
      <w:r>
        <w:rPr>
          <w:rFonts w:ascii="Times New Roman" w:hAnsi="Times New Roman"/>
          <w:b/>
        </w:rPr>
        <w:t>where</w:t>
      </w:r>
      <w:r>
        <w:rPr>
          <w:rFonts w:ascii="Times New Roman" w:hAnsi="Times New Roman"/>
        </w:rPr>
        <w:t xml:space="preserve"> a requirement applies, which is narrower and more useful than writing a requirement against the whole activity. Second, the attempt count and the elapsed time are a </w:t>
      </w:r>
      <w:r>
        <w:rPr>
          <w:rFonts w:ascii="Times New Roman" w:hAnsi="Times New Roman"/>
          <w:b/>
        </w:rPr>
        <w:t>baseline</w:t>
      </w:r>
      <w:r>
        <w:rPr>
          <w:rFonts w:ascii="Times New Roman" w:hAnsi="Times New Roman"/>
        </w:rPr>
        <w:t xml:space="preserve">: a later design can be tested against whether it actually reduced either, which a subjective claim of improvement cannot be. Third, the hazards become </w:t>
      </w:r>
      <w:r>
        <w:rPr>
          <w:rFonts w:ascii="Times New Roman" w:hAnsi="Times New Roman"/>
          <w:b/>
        </w:rPr>
        <w:t>constraints rather than features</w:t>
      </w:r>
      <w:r>
        <w:rPr>
          <w:rFonts w:ascii="Times New Roman" w:hAnsi="Times New Roman"/>
        </w:rPr>
        <w:t>, because a device that makes the step easier while making a submersion or a shear injury more likely has not improved anything.</w:t>
      </w:r>
    </w:p>
    <w:p>
      <w:pPr>
        <w:spacing w:after="140"/>
        <w:jc w:val="both"/>
      </w:pPr>
      <w:r>
        <w:rPr>
          <w:rFonts w:ascii="Times New Roman" w:hAnsi="Times New Roman"/>
        </w:rPr>
        <w:t>The more general lesson from this segment is that the facility has already solved the barrier it set out to solve. The floor lift removes the step that would otherwise exclude a wheelchair user from the pool altogether. What remains difficult is what the equipment does not reach: the threshold detail at its own edge, and the moment the patient has to supply the effort themselves. Ethnographic observation is what surfaces that second layer, because it is invisible in a specification and invisible in the narration — the video describes the pools as offering barrier-free entry, and in the broad sense they 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