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80" w:line="438.2608695652174" w:lineRule="auto"/>
        <w:rPr>
          <w:b w:val="1"/>
          <w:color w:val="292929"/>
          <w:sz w:val="59"/>
          <w:szCs w:val="59"/>
        </w:rPr>
      </w:pPr>
      <w:bookmarkStart w:colFirst="0" w:colLast="0" w:name="_zd69mvb847ht" w:id="0"/>
      <w:bookmarkEnd w:id="0"/>
      <w:r w:rsidDel="00000000" w:rsidR="00000000" w:rsidRPr="00000000">
        <w:rPr>
          <w:b w:val="1"/>
          <w:color w:val="292929"/>
          <w:sz w:val="59"/>
          <w:szCs w:val="59"/>
          <w:rtl w:val="0"/>
        </w:rPr>
        <w:t xml:space="preserve">Time Series Analysis in Python</w:t>
      </w:r>
    </w:p>
    <w:p w:rsidR="00000000" w:rsidDel="00000000" w:rsidP="00000000" w:rsidRDefault="00000000" w:rsidRPr="00000000" w14:paraId="00000002">
      <w:pPr>
        <w:shd w:fill="ffffff" w:val="clear"/>
        <w:spacing w:after="240" w:lineRule="auto"/>
        <w:rPr>
          <w:sz w:val="24"/>
          <w:szCs w:val="24"/>
        </w:rPr>
      </w:pPr>
      <w:r w:rsidDel="00000000" w:rsidR="00000000" w:rsidRPr="00000000">
        <w:rPr>
          <w:sz w:val="24"/>
          <w:szCs w:val="24"/>
          <w:rtl w:val="0"/>
        </w:rPr>
        <w:t xml:space="preserve">This repository contains a series of analysis, transforms and forecasting models frequently used when dealing with time series. The aim of this repository is to use the Consumer Price Index dataset and understand the various aspects of the inherent nature of the series so that we are better informed and take meaningful inferences and build accurate forecasts.</w:t>
      </w:r>
    </w:p>
    <w:p w:rsidR="00000000" w:rsidDel="00000000" w:rsidP="00000000" w:rsidRDefault="00000000" w:rsidRPr="00000000" w14:paraId="00000003">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kw2zq0yu5jq6" w:id="1"/>
      <w:bookmarkEnd w:id="1"/>
      <w:r w:rsidDel="00000000" w:rsidR="00000000" w:rsidRPr="00000000">
        <w:rPr>
          <w:b w:val="1"/>
          <w:color w:val="24292f"/>
          <w:sz w:val="46"/>
          <w:szCs w:val="46"/>
          <w:rtl w:val="0"/>
        </w:rPr>
        <w:t xml:space="preserve">Dataset</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Dataset used is the Consumer Price Index (monthly, seasonally adjusted) during the calendar years 2010 to 2021 as provided by the Government of Canada. The data from the food column is pulled and pre-processed to ensure easier data handling and to save time. In this case, the series is already stationary with some next to no seasonalities which change every year.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rPr>
          <w:color w:val="284162"/>
          <w:sz w:val="24"/>
          <w:szCs w:val="24"/>
          <w:u w:val="single"/>
        </w:rPr>
      </w:pPr>
      <w:r w:rsidDel="00000000" w:rsidR="00000000" w:rsidRPr="00000000">
        <w:rPr>
          <w:color w:val="333333"/>
          <w:sz w:val="24"/>
          <w:szCs w:val="24"/>
          <w:rtl w:val="0"/>
        </w:rPr>
        <w:t xml:space="preserve">Statistics Canada. </w:t>
      </w:r>
      <w:hyperlink r:id="rId6">
        <w:r w:rsidDel="00000000" w:rsidR="00000000" w:rsidRPr="00000000">
          <w:rPr>
            <w:color w:val="284162"/>
            <w:sz w:val="24"/>
            <w:szCs w:val="24"/>
            <w:u w:val="single"/>
            <w:rtl w:val="0"/>
          </w:rPr>
          <w:t xml:space="preserve">Table 18-10-0006-01  Consumer Price Index, monthly, seasonally adjusted</w:t>
        </w:r>
      </w:hyperlink>
      <w:r w:rsidDel="00000000" w:rsidR="00000000" w:rsidRPr="00000000">
        <w:rPr>
          <w:rtl w:val="0"/>
        </w:rPr>
      </w:r>
    </w:p>
    <w:p w:rsidR="00000000" w:rsidDel="00000000" w:rsidP="00000000" w:rsidRDefault="00000000" w:rsidRPr="00000000" w14:paraId="00000007">
      <w:pPr>
        <w:shd w:fill="ffffff" w:val="clear"/>
        <w:rPr>
          <w:color w:val="0535d2"/>
          <w:sz w:val="24"/>
          <w:szCs w:val="24"/>
          <w:u w:val="single"/>
        </w:rPr>
      </w:pPr>
      <w:r w:rsidDel="00000000" w:rsidR="00000000" w:rsidRPr="00000000">
        <w:rPr>
          <w:color w:val="333333"/>
          <w:sz w:val="24"/>
          <w:szCs w:val="24"/>
          <w:rtl w:val="0"/>
        </w:rPr>
        <w:t xml:space="preserve">DOI:</w:t>
      </w:r>
      <w:r w:rsidDel="00000000" w:rsidR="00000000" w:rsidRPr="00000000">
        <w:rPr>
          <w:b w:val="1"/>
          <w:color w:val="333333"/>
          <w:sz w:val="24"/>
          <w:szCs w:val="24"/>
          <w:rtl w:val="0"/>
        </w:rPr>
        <w:t xml:space="preserve"> </w:t>
      </w:r>
      <w:hyperlink r:id="rId7">
        <w:r w:rsidDel="00000000" w:rsidR="00000000" w:rsidRPr="00000000">
          <w:rPr>
            <w:color w:val="0535d2"/>
            <w:sz w:val="24"/>
            <w:szCs w:val="24"/>
            <w:u w:val="single"/>
            <w:rtl w:val="0"/>
          </w:rPr>
          <w:t xml:space="preserve">https://doi.org/10.25318/1810000601-eng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78uh8vdmaid" w:id="2"/>
      <w:bookmarkEnd w:id="2"/>
      <w:r w:rsidDel="00000000" w:rsidR="00000000" w:rsidRPr="00000000">
        <w:rPr>
          <w:b w:val="1"/>
          <w:color w:val="24292f"/>
          <w:sz w:val="46"/>
          <w:szCs w:val="46"/>
          <w:rtl w:val="0"/>
        </w:rPr>
        <w:t xml:space="preserve">Analysis and transforms</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tl w:val="0"/>
        </w:rPr>
        <w:t xml:space="preserve">Time series decomposition</w:t>
      </w:r>
    </w:p>
    <w:p w:rsidR="00000000" w:rsidDel="00000000" w:rsidP="00000000" w:rsidRDefault="00000000" w:rsidRPr="00000000" w14:paraId="0000000B">
      <w:pPr>
        <w:numPr>
          <w:ilvl w:val="1"/>
          <w:numId w:val="2"/>
        </w:numPr>
        <w:spacing w:after="0" w:afterAutospacing="0" w:lineRule="auto"/>
        <w:ind w:left="1440" w:hanging="360"/>
      </w:pPr>
      <w:r w:rsidDel="00000000" w:rsidR="00000000" w:rsidRPr="00000000">
        <w:rPr>
          <w:rtl w:val="0"/>
        </w:rPr>
        <w:t xml:space="preserve">Level</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Trend</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Seasonality</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Noise</w:t>
      </w:r>
    </w:p>
    <w:p w:rsidR="00000000" w:rsidDel="00000000" w:rsidP="00000000" w:rsidRDefault="00000000" w:rsidRPr="00000000" w14:paraId="0000000F">
      <w:pPr>
        <w:numPr>
          <w:ilvl w:val="1"/>
          <w:numId w:val="2"/>
        </w:numPr>
        <w:spacing w:after="240" w:before="0" w:beforeAutospacing="0" w:lineRule="auto"/>
        <w:ind w:left="1440" w:hanging="360"/>
        <w:rPr>
          <w:u w:val="none"/>
        </w:rPr>
      </w:pPr>
      <w:r w:rsidDel="00000000" w:rsidR="00000000" w:rsidRPr="00000000">
        <w:rPr>
          <w:rtl w:val="0"/>
        </w:rPr>
        <w:t xml:space="preserve">Lag</w:t>
      </w:r>
    </w:p>
    <w:p w:rsidR="00000000" w:rsidDel="00000000" w:rsidP="00000000" w:rsidRDefault="00000000" w:rsidRPr="00000000" w14:paraId="00000010">
      <w:pPr>
        <w:spacing w:after="240" w:before="60" w:lineRule="auto"/>
        <w:ind w:left="1440" w:firstLine="0"/>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60" w:lineRule="auto"/>
        <w:ind w:left="720" w:hanging="360"/>
      </w:pPr>
      <w:r w:rsidDel="00000000" w:rsidR="00000000" w:rsidRPr="00000000">
        <w:rPr>
          <w:rtl w:val="0"/>
        </w:rPr>
        <w:t xml:space="preserve">Stationarity</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AC and PAC plots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Moving Averages</w:t>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Dickey-Fuller test</w:t>
      </w:r>
    </w:p>
    <w:p w:rsidR="00000000" w:rsidDel="00000000" w:rsidP="00000000" w:rsidRDefault="00000000" w:rsidRPr="00000000" w14:paraId="00000015">
      <w:pPr>
        <w:spacing w:after="240" w:before="120" w:lineRule="auto"/>
        <w:ind w:left="1440" w:firstLine="0"/>
        <w:rPr/>
      </w:pPr>
      <w:r w:rsidDel="00000000" w:rsidR="00000000" w:rsidRPr="00000000">
        <w:rPr>
          <w:rtl w:val="0"/>
        </w:rPr>
      </w:r>
    </w:p>
    <w:p w:rsidR="00000000" w:rsidDel="00000000" w:rsidP="00000000" w:rsidRDefault="00000000" w:rsidRPr="00000000" w14:paraId="00000016">
      <w:pPr>
        <w:numPr>
          <w:ilvl w:val="0"/>
          <w:numId w:val="2"/>
        </w:numPr>
        <w:spacing w:after="0" w:afterAutospacing="0" w:before="60" w:lineRule="auto"/>
        <w:ind w:left="720" w:hanging="360"/>
      </w:pPr>
      <w:r w:rsidDel="00000000" w:rsidR="00000000" w:rsidRPr="00000000">
        <w:rPr>
          <w:rtl w:val="0"/>
        </w:rPr>
        <w:t xml:space="preserve">Making our time series stationary</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Smoothing</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Moving averages</w:t>
      </w:r>
    </w:p>
    <w:p w:rsidR="00000000" w:rsidDel="00000000" w:rsidP="00000000" w:rsidRDefault="00000000" w:rsidRPr="00000000" w14:paraId="00000019">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u5t9nuvyzi00" w:id="3"/>
      <w:bookmarkEnd w:id="3"/>
      <w:r w:rsidDel="00000000" w:rsidR="00000000" w:rsidRPr="00000000">
        <w:rPr>
          <w:b w:val="1"/>
          <w:color w:val="24292f"/>
          <w:sz w:val="46"/>
          <w:szCs w:val="46"/>
          <w:rtl w:val="0"/>
        </w:rPr>
        <w:t xml:space="preserve">Models tested</w:t>
      </w:r>
    </w:p>
    <w:p w:rsidR="00000000" w:rsidDel="00000000" w:rsidP="00000000" w:rsidRDefault="00000000" w:rsidRPr="00000000" w14:paraId="0000001A">
      <w:pPr>
        <w:rPr/>
      </w:pPr>
      <w:r w:rsidDel="00000000" w:rsidR="00000000" w:rsidRPr="00000000">
        <w:rPr>
          <w:sz w:val="24"/>
          <w:szCs w:val="24"/>
          <w:rtl w:val="0"/>
        </w:rPr>
        <w:t xml:space="preserve">ARIMA, short for ‘Auto-Regressive Integrated Moving Averages’ is actually a class of models that ‘explains’ a given time series based on its own past values, that is, its own lags and the lagged forecast errors, so that equation can be used to forecast future values.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535353"/>
          <w:sz w:val="24"/>
          <w:szCs w:val="24"/>
        </w:rPr>
      </w:pPr>
      <w:r w:rsidDel="00000000" w:rsidR="00000000" w:rsidRPr="00000000">
        <w:rPr>
          <w:color w:val="535353"/>
          <w:sz w:val="24"/>
          <w:szCs w:val="24"/>
          <w:rtl w:val="0"/>
        </w:rPr>
        <w:t xml:space="preserve">A pure </w:t>
      </w:r>
      <w:r w:rsidDel="00000000" w:rsidR="00000000" w:rsidRPr="00000000">
        <w:rPr>
          <w:b w:val="1"/>
          <w:color w:val="535353"/>
          <w:sz w:val="24"/>
          <w:szCs w:val="24"/>
          <w:rtl w:val="0"/>
        </w:rPr>
        <w:t xml:space="preserve">Auto-Regressive (AR only) model</w:t>
      </w:r>
      <w:r w:rsidDel="00000000" w:rsidR="00000000" w:rsidRPr="00000000">
        <w:rPr>
          <w:color w:val="535353"/>
          <w:sz w:val="24"/>
          <w:szCs w:val="24"/>
          <w:rtl w:val="0"/>
        </w:rPr>
        <w:t xml:space="preserve"> is one where Yt depends only on its own lags. That is, Yt is a function of the ‘lags of Yt’. </w:t>
      </w:r>
    </w:p>
    <w:p w:rsidR="00000000" w:rsidDel="00000000" w:rsidP="00000000" w:rsidRDefault="00000000" w:rsidRPr="00000000" w14:paraId="0000001D">
      <w:pPr>
        <w:rPr>
          <w:color w:val="535353"/>
          <w:sz w:val="24"/>
          <w:szCs w:val="24"/>
        </w:rPr>
      </w:pPr>
      <w:r w:rsidDel="00000000" w:rsidR="00000000" w:rsidRPr="00000000">
        <w:rPr>
          <w:color w:val="535353"/>
          <w:sz w:val="24"/>
          <w:szCs w:val="24"/>
        </w:rPr>
        <w:drawing>
          <wp:inline distB="114300" distT="114300" distL="114300" distR="114300">
            <wp:extent cx="5943600" cy="825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535353"/>
          <w:sz w:val="24"/>
          <w:szCs w:val="24"/>
          <w:highlight w:val="white"/>
        </w:rPr>
      </w:pPr>
      <w:r w:rsidDel="00000000" w:rsidR="00000000" w:rsidRPr="00000000">
        <w:rPr>
          <w:color w:val="535353"/>
          <w:sz w:val="24"/>
          <w:szCs w:val="24"/>
          <w:highlight w:val="white"/>
          <w:rtl w:val="0"/>
        </w:rPr>
        <w:t xml:space="preserve">Likewise a pure </w:t>
      </w:r>
      <w:r w:rsidDel="00000000" w:rsidR="00000000" w:rsidRPr="00000000">
        <w:rPr>
          <w:b w:val="1"/>
          <w:color w:val="535353"/>
          <w:sz w:val="24"/>
          <w:szCs w:val="24"/>
          <w:highlight w:val="white"/>
          <w:rtl w:val="0"/>
        </w:rPr>
        <w:t xml:space="preserve">Moving Average (MA only) model</w:t>
      </w:r>
      <w:r w:rsidDel="00000000" w:rsidR="00000000" w:rsidRPr="00000000">
        <w:rPr>
          <w:color w:val="535353"/>
          <w:sz w:val="24"/>
          <w:szCs w:val="24"/>
          <w:highlight w:val="white"/>
          <w:rtl w:val="0"/>
        </w:rPr>
        <w:t xml:space="preserve"> is one where Yt depends only on the lagged forecast errors.</w:t>
      </w:r>
    </w:p>
    <w:p w:rsidR="00000000" w:rsidDel="00000000" w:rsidP="00000000" w:rsidRDefault="00000000" w:rsidRPr="00000000" w14:paraId="0000001F">
      <w:pPr>
        <w:rPr>
          <w:color w:val="535353"/>
          <w:sz w:val="24"/>
          <w:szCs w:val="24"/>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939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35353"/>
          <w:sz w:val="24"/>
          <w:szCs w:val="24"/>
        </w:rPr>
      </w:pPr>
      <w:r w:rsidDel="00000000" w:rsidR="00000000" w:rsidRPr="00000000">
        <w:rPr>
          <w:color w:val="535353"/>
          <w:sz w:val="24"/>
          <w:szCs w:val="24"/>
          <w:rtl w:val="0"/>
        </w:rPr>
        <w:t xml:space="preserve">where the error terms are the errors of the autoregressive models of the respective lags. The errors Et and E(t-1) are the errors from the following equations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35353"/>
          <w:sz w:val="24"/>
          <w:szCs w:val="24"/>
        </w:rPr>
      </w:pPr>
      <w:r w:rsidDel="00000000" w:rsidR="00000000" w:rsidRPr="00000000">
        <w:rPr>
          <w:color w:val="535353"/>
          <w:sz w:val="24"/>
          <w:szCs w:val="24"/>
        </w:rPr>
        <w:drawing>
          <wp:inline distB="114300" distT="114300" distL="114300" distR="114300">
            <wp:extent cx="5943600" cy="1600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35353"/>
          <w:sz w:val="24"/>
          <w:szCs w:val="24"/>
        </w:rPr>
      </w:pPr>
      <w:r w:rsidDel="00000000" w:rsidR="00000000" w:rsidRPr="00000000">
        <w:rPr>
          <w:color w:val="535353"/>
          <w:sz w:val="24"/>
          <w:szCs w:val="24"/>
          <w:rtl w:val="0"/>
        </w:rPr>
        <w:t xml:space="preserve">An ARIMA model is one where the time series was differenced at least once to make it stationary and you combine the AR and the MA terms. So the equation becomes: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35353"/>
          <w:sz w:val="24"/>
          <w:szCs w:val="24"/>
        </w:rPr>
      </w:pPr>
      <w:r w:rsidDel="00000000" w:rsidR="00000000" w:rsidRPr="00000000">
        <w:rPr>
          <w:color w:val="535353"/>
          <w:sz w:val="24"/>
          <w:szCs w:val="24"/>
        </w:rPr>
        <w:drawing>
          <wp:inline distB="114300" distT="114300" distL="114300" distR="114300">
            <wp:extent cx="5943600" cy="533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b w:val="1"/>
          <w:color w:val="24292f"/>
          <w:sz w:val="34"/>
          <w:szCs w:val="34"/>
        </w:rPr>
      </w:pPr>
      <w:r w:rsidDel="00000000" w:rsidR="00000000" w:rsidRPr="00000000">
        <w:rPr>
          <w:b w:val="1"/>
          <w:color w:val="24292f"/>
          <w:sz w:val="34"/>
          <w:szCs w:val="34"/>
          <w:rtl w:val="0"/>
        </w:rPr>
        <w:t xml:space="preserve">Getting Started</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f"/>
          <w:sz w:val="33"/>
          <w:szCs w:val="33"/>
        </w:rPr>
      </w:pPr>
      <w:bookmarkStart w:colFirst="0" w:colLast="0" w:name="_i2q5bx82s47h" w:id="4"/>
      <w:bookmarkEnd w:id="4"/>
      <w:r w:rsidDel="00000000" w:rsidR="00000000" w:rsidRPr="00000000">
        <w:rPr>
          <w:b w:val="1"/>
          <w:color w:val="24292f"/>
          <w:sz w:val="33"/>
          <w:szCs w:val="33"/>
          <w:rtl w:val="0"/>
        </w:rPr>
        <w:t xml:space="preserve">   Dependencies</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4292f"/>
          <w:sz w:val="24"/>
          <w:szCs w:val="24"/>
          <w:rtl w:val="0"/>
        </w:rPr>
        <w:t xml:space="preserve">Python IDE or Python notebook (Jupyter or Google Colab)</w:t>
      </w:r>
      <w:r w:rsidDel="00000000" w:rsidR="00000000" w:rsidRPr="00000000">
        <w:rPr>
          <w:rtl w:val="0"/>
        </w:rPr>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color w:val="24292f"/>
          <w:sz w:val="24"/>
          <w:szCs w:val="24"/>
          <w:rtl w:val="0"/>
        </w:rPr>
        <w:t xml:space="preserve">Libraries needed: Pandas, NumPy, MatPlotLib, Statsmodels, Pmdarima, SciPy, Sci-kit Learn</w:t>
        <w:tab/>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240" w:lineRule="auto"/>
        <w:ind w:left="-300" w:firstLine="0"/>
        <w:rPr>
          <w:b w:val="1"/>
          <w:color w:val="24292f"/>
          <w:sz w:val="33"/>
          <w:szCs w:val="33"/>
        </w:rPr>
      </w:pPr>
      <w:bookmarkStart w:colFirst="0" w:colLast="0" w:name="_uas1ar1sqoz3" w:id="5"/>
      <w:bookmarkEnd w:id="5"/>
      <w:r w:rsidDel="00000000" w:rsidR="00000000" w:rsidRPr="00000000">
        <w:rPr>
          <w:b w:val="1"/>
          <w:color w:val="24292f"/>
          <w:sz w:val="33"/>
          <w:szCs w:val="33"/>
          <w:rtl w:val="0"/>
        </w:rPr>
        <w:t xml:space="preserve">   Installing</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hanging="360"/>
      </w:pPr>
      <w:r w:rsidDel="00000000" w:rsidR="00000000" w:rsidRPr="00000000">
        <w:rPr>
          <w:color w:val="24292f"/>
          <w:sz w:val="24"/>
          <w:szCs w:val="24"/>
          <w:rtl w:val="0"/>
        </w:rPr>
        <w:t xml:space="preserve">Clone the repository</w:t>
        <w:br w:type="textWrapping"/>
      </w:r>
      <w:r w:rsidDel="00000000" w:rsidR="00000000" w:rsidRPr="00000000">
        <w:rPr>
          <w:rFonts w:ascii="Courier New" w:cs="Courier New" w:eastAsia="Courier New" w:hAnsi="Courier New"/>
          <w:color w:val="24292f"/>
          <w:sz w:val="20"/>
          <w:szCs w:val="20"/>
          <w:rtl w:val="0"/>
        </w:rPr>
        <w:t xml:space="preserve">git clone https://github.com/microsoft/forecasting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cd forecasting/</w:t>
      </w:r>
      <w:r w:rsidDel="00000000" w:rsidR="00000000" w:rsidRPr="00000000">
        <w:rPr>
          <w:rtl w:val="0"/>
        </w:rPr>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color w:val="24292f"/>
          <w:sz w:val="24"/>
          <w:szCs w:val="24"/>
          <w:rtl w:val="0"/>
        </w:rPr>
        <w:t xml:space="preserve">Run setup scripts to create conda environment. Please execute one of the following commands from the root of the Forecasting repo based on your operating system.</w:t>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24292f"/>
          <w:sz w:val="24"/>
          <w:szCs w:val="24"/>
        </w:rPr>
      </w:pPr>
      <w:r w:rsidDel="00000000" w:rsidR="00000000" w:rsidRPr="00000000">
        <w:rPr>
          <w:color w:val="24292f"/>
          <w:sz w:val="24"/>
          <w:szCs w:val="24"/>
          <w:rtl w:val="0"/>
        </w:rPr>
        <w:t xml:space="preserve">Linux</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./tools/environment_setup.sh</w:t>
      </w:r>
      <w:r w:rsidDel="00000000" w:rsidR="00000000" w:rsidRPr="00000000">
        <w:rPr>
          <w:rtl w:val="0"/>
        </w:rPr>
      </w:r>
    </w:p>
    <w:p w:rsidR="00000000" w:rsidDel="00000000" w:rsidP="00000000" w:rsidRDefault="00000000" w:rsidRPr="00000000" w14:paraId="0000002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1440" w:hanging="360"/>
        <w:rPr>
          <w:color w:val="24292f"/>
          <w:sz w:val="24"/>
          <w:szCs w:val="24"/>
        </w:rPr>
      </w:pPr>
      <w:r w:rsidDel="00000000" w:rsidR="00000000" w:rsidRPr="00000000">
        <w:rPr>
          <w:color w:val="24292f"/>
          <w:sz w:val="24"/>
          <w:szCs w:val="24"/>
          <w:rtl w:val="0"/>
        </w:rPr>
        <w:t xml:space="preserve">Windows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tools\environment_setup.bat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firstLine="0"/>
        <w:rPr>
          <w:color w:val="24292f"/>
          <w:sz w:val="24"/>
          <w:szCs w:val="24"/>
        </w:rPr>
      </w:pPr>
      <w:r w:rsidDel="00000000" w:rsidR="00000000" w:rsidRPr="00000000">
        <w:rPr>
          <w:rFonts w:ascii="Courier New" w:cs="Courier New" w:eastAsia="Courier New" w:hAnsi="Courier New"/>
          <w:color w:val="24292f"/>
          <w:sz w:val="20"/>
          <w:szCs w:val="20"/>
          <w:rtl w:val="0"/>
        </w:rPr>
        <w:br w:type="textWrapping"/>
        <w:t xml:space="preserve">(</w:t>
      </w:r>
      <w:r w:rsidDel="00000000" w:rsidR="00000000" w:rsidRPr="00000000">
        <w:rPr>
          <w:color w:val="24292f"/>
          <w:sz w:val="24"/>
          <w:szCs w:val="24"/>
          <w:rtl w:val="0"/>
        </w:rPr>
        <w:t xml:space="preserve">Note that for Windows you need to run the batch script from Anaconda Prompt. The script creates a conda environment </w:t>
      </w:r>
      <w:r w:rsidDel="00000000" w:rsidR="00000000" w:rsidRPr="00000000">
        <w:rPr>
          <w:rFonts w:ascii="Courier New" w:cs="Courier New" w:eastAsia="Courier New" w:hAnsi="Courier New"/>
          <w:color w:val="24292f"/>
          <w:sz w:val="20"/>
          <w:szCs w:val="20"/>
          <w:rtl w:val="0"/>
        </w:rPr>
        <w:t xml:space="preserve">forecasting_env</w:t>
      </w:r>
      <w:r w:rsidDel="00000000" w:rsidR="00000000" w:rsidRPr="00000000">
        <w:rPr>
          <w:color w:val="24292f"/>
          <w:sz w:val="24"/>
          <w:szCs w:val="24"/>
          <w:rtl w:val="0"/>
        </w:rPr>
        <w:t xml:space="preserve"> and installs the forecasting utility library </w:t>
      </w:r>
      <w:r w:rsidDel="00000000" w:rsidR="00000000" w:rsidRPr="00000000">
        <w:rPr>
          <w:rFonts w:ascii="Courier New" w:cs="Courier New" w:eastAsia="Courier New" w:hAnsi="Courier New"/>
          <w:color w:val="24292f"/>
          <w:sz w:val="20"/>
          <w:szCs w:val="20"/>
          <w:rtl w:val="0"/>
        </w:rPr>
        <w:t xml:space="preserve">fclib</w:t>
      </w:r>
      <w:r w:rsidDel="00000000" w:rsidR="00000000" w:rsidRPr="00000000">
        <w:rPr>
          <w:color w:val="24292f"/>
          <w:sz w:val="24"/>
          <w:szCs w:val="24"/>
          <w:rtl w:val="0"/>
        </w:rPr>
        <w:t xml:space="preserve">.)</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hanging="360"/>
      </w:pPr>
      <w:r w:rsidDel="00000000" w:rsidR="00000000" w:rsidRPr="00000000">
        <w:rPr>
          <w:color w:val="24292f"/>
          <w:sz w:val="24"/>
          <w:szCs w:val="24"/>
          <w:rtl w:val="0"/>
        </w:rPr>
        <w:t xml:space="preserve">Start the Jupyter notebook server</w:t>
        <w:br w:type="textWrapping"/>
      </w:r>
      <w:r w:rsidDel="00000000" w:rsidR="00000000" w:rsidRPr="00000000">
        <w:rPr>
          <w:rFonts w:ascii="Courier New" w:cs="Courier New" w:eastAsia="Courier New" w:hAnsi="Courier New"/>
          <w:color w:val="24292f"/>
          <w:sz w:val="20"/>
          <w:szCs w:val="20"/>
          <w:rtl w:val="0"/>
        </w:rPr>
        <w:t xml:space="preserve">jupyter notebook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720" w:hanging="360"/>
      </w:pPr>
      <w:r w:rsidDel="00000000" w:rsidR="00000000" w:rsidRPr="00000000">
        <w:rPr>
          <w:color w:val="24292f"/>
          <w:sz w:val="24"/>
          <w:szCs w:val="24"/>
          <w:rtl w:val="0"/>
        </w:rPr>
        <w:t xml:space="preserve">Run the </w:t>
      </w:r>
      <w:hyperlink r:id="rId12">
        <w:r w:rsidDel="00000000" w:rsidR="00000000" w:rsidRPr="00000000">
          <w:rPr>
            <w:color w:val="1155cc"/>
            <w:sz w:val="24"/>
            <w:szCs w:val="24"/>
            <w:rtl w:val="0"/>
          </w:rPr>
          <w:t xml:space="preserve">LightGBM single-round</w:t>
        </w:r>
      </w:hyperlink>
      <w:r w:rsidDel="00000000" w:rsidR="00000000" w:rsidRPr="00000000">
        <w:rPr>
          <w:color w:val="24292f"/>
          <w:sz w:val="24"/>
          <w:szCs w:val="24"/>
          <w:rtl w:val="0"/>
        </w:rPr>
        <w:t xml:space="preserve"> notebook under the </w:t>
      </w:r>
      <w:r w:rsidDel="00000000" w:rsidR="00000000" w:rsidRPr="00000000">
        <w:rPr>
          <w:rFonts w:ascii="Courier New" w:cs="Courier New" w:eastAsia="Courier New" w:hAnsi="Courier New"/>
          <w:color w:val="24292f"/>
          <w:sz w:val="20"/>
          <w:szCs w:val="20"/>
          <w:rtl w:val="0"/>
        </w:rPr>
        <w:t xml:space="preserve">00_quick_start</w:t>
      </w:r>
      <w:r w:rsidDel="00000000" w:rsidR="00000000" w:rsidRPr="00000000">
        <w:rPr>
          <w:color w:val="24292f"/>
          <w:sz w:val="24"/>
          <w:szCs w:val="24"/>
          <w:rtl w:val="0"/>
        </w:rPr>
        <w:t xml:space="preserve"> folder. Make sure that the selected Jupyter kernel is </w:t>
      </w:r>
      <w:r w:rsidDel="00000000" w:rsidR="00000000" w:rsidRPr="00000000">
        <w:rPr>
          <w:rFonts w:ascii="Courier New" w:cs="Courier New" w:eastAsia="Courier New" w:hAnsi="Courier New"/>
          <w:color w:val="24292f"/>
          <w:sz w:val="20"/>
          <w:szCs w:val="20"/>
          <w:rtl w:val="0"/>
        </w:rPr>
        <w:t xml:space="preserve">forecasting_env</w:t>
      </w:r>
      <w:r w:rsidDel="00000000" w:rsidR="00000000" w:rsidRPr="00000000">
        <w:rPr>
          <w:color w:val="24292f"/>
          <w:sz w:val="24"/>
          <w:szCs w:val="24"/>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sz w:val="24"/>
          <w:szCs w:val="24"/>
          <w:u w:val="none"/>
        </w:rPr>
      </w:pPr>
      <w:r w:rsidDel="00000000" w:rsidR="00000000" w:rsidRPr="00000000">
        <w:rPr>
          <w:color w:val="24292f"/>
          <w:sz w:val="24"/>
          <w:szCs w:val="24"/>
          <w:rtl w:val="0"/>
        </w:rPr>
        <w:t xml:space="preserve">If you have any issues with the above setup, or want to find more detailed instructions on how to set up your environment and run examples provided in the repository, on local or a remote machine, please navigate to the </w:t>
      </w:r>
      <w:hyperlink r:id="rId13">
        <w:r w:rsidDel="00000000" w:rsidR="00000000" w:rsidRPr="00000000">
          <w:rPr>
            <w:color w:val="1155cc"/>
            <w:sz w:val="24"/>
            <w:szCs w:val="24"/>
            <w:rtl w:val="0"/>
          </w:rPr>
          <w:t xml:space="preserve">Setup Guide</w:t>
        </w:r>
      </w:hyperlink>
      <w:r w:rsidDel="00000000" w:rsidR="00000000" w:rsidRPr="00000000">
        <w:rPr>
          <w:color w:val="24292f"/>
          <w:sz w:val="24"/>
          <w:szCs w:val="24"/>
          <w:rtl w:val="0"/>
        </w:rPr>
        <w:t xml:space="preserve">.</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5" w:sz="0" w:val="none"/>
          <w:right w:color="auto" w:space="0" w:sz="0" w:val="none"/>
          <w:between w:color="auto" w:space="0" w:sz="0" w:val="none"/>
        </w:pBdr>
        <w:shd w:fill="ffffff" w:val="clear"/>
        <w:spacing w:after="240" w:line="300" w:lineRule="auto"/>
        <w:rPr>
          <w:b w:val="1"/>
          <w:color w:val="24292f"/>
          <w:sz w:val="34"/>
          <w:szCs w:val="34"/>
        </w:rPr>
      </w:pPr>
      <w:bookmarkStart w:colFirst="0" w:colLast="0" w:name="_9w1bjqs9nzj" w:id="6"/>
      <w:bookmarkEnd w:id="6"/>
      <w:r w:rsidDel="00000000" w:rsidR="00000000" w:rsidRPr="00000000">
        <w:rPr>
          <w:b w:val="1"/>
          <w:color w:val="24292f"/>
          <w:sz w:val="34"/>
          <w:szCs w:val="34"/>
          <w:rtl w:val="0"/>
        </w:rPr>
        <w:t xml:space="preserve">Authors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92f"/>
          <w:sz w:val="24"/>
          <w:szCs w:val="24"/>
        </w:rPr>
      </w:pPr>
      <w:r w:rsidDel="00000000" w:rsidR="00000000" w:rsidRPr="00000000">
        <w:rPr>
          <w:color w:val="24292f"/>
          <w:sz w:val="24"/>
          <w:szCs w:val="24"/>
          <w:rtl w:val="0"/>
        </w:rPr>
        <w:t xml:space="preserve">Vibhuti Gandhi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92f"/>
          <w:sz w:val="24"/>
          <w:szCs w:val="24"/>
        </w:rPr>
      </w:pPr>
      <w:r w:rsidDel="00000000" w:rsidR="00000000" w:rsidRPr="00000000">
        <w:rPr>
          <w:color w:val="24292f"/>
          <w:sz w:val="24"/>
          <w:szCs w:val="24"/>
          <w:rtl w:val="0"/>
        </w:rPr>
        <w:t xml:space="preserve">Discord: ginko#5274</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92f"/>
          <w:sz w:val="24"/>
          <w:szCs w:val="24"/>
        </w:rPr>
      </w:pPr>
      <w:r w:rsidDel="00000000" w:rsidR="00000000" w:rsidRPr="00000000">
        <w:rPr>
          <w:color w:val="24292f"/>
          <w:sz w:val="24"/>
          <w:szCs w:val="24"/>
          <w:rtl w:val="0"/>
        </w:rPr>
        <w:t xml:space="preserve">LinkedIn: </w:t>
      </w:r>
      <w:hyperlink r:id="rId14">
        <w:r w:rsidDel="00000000" w:rsidR="00000000" w:rsidRPr="00000000">
          <w:rPr>
            <w:color w:val="1155cc"/>
            <w:sz w:val="24"/>
            <w:szCs w:val="24"/>
            <w:u w:val="single"/>
            <w:rtl w:val="0"/>
          </w:rPr>
          <w:t xml:space="preserve">https://www.linkedin.com/in/vibhuti-gandhi-8679ba1bb/</w:t>
        </w:r>
      </w:hyperlink>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rPr>
          <w:color w:val="24292f"/>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b w:val="1"/>
          <w:color w:val="24292f"/>
          <w:sz w:val="33"/>
          <w:szCs w:val="33"/>
        </w:rPr>
      </w:pPr>
      <w:bookmarkStart w:colFirst="0" w:colLast="0" w:name="_h3xcz921flhm" w:id="7"/>
      <w:bookmarkEnd w:id="7"/>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535353"/>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github.com/microsoft/forecasting/blob/master/docs/SETUP.md" TargetMode="External"/><Relationship Id="rId12" Type="http://schemas.openxmlformats.org/officeDocument/2006/relationships/hyperlink" Target="https://github.com/microsoft/forecasting/blob/master/examples/grocery_sales/python/00_quick_start/lightgbm_single_round.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linkedin.com/in/vibhuti-gandhi-8679ba1bb/" TargetMode="External"/><Relationship Id="rId5" Type="http://schemas.openxmlformats.org/officeDocument/2006/relationships/styles" Target="styles.xml"/><Relationship Id="rId6" Type="http://schemas.openxmlformats.org/officeDocument/2006/relationships/hyperlink" Target="https://www150.statcan.gc.ca/t1/tbl1/en/tv.action?pid=1810000601" TargetMode="External"/><Relationship Id="rId7" Type="http://schemas.openxmlformats.org/officeDocument/2006/relationships/hyperlink" Target="https://doi.org/10.25318/1810000601-e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