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F6A73" w:rsidRPr="00EF6A73" w:rsidRDefault="00EF6A73" w:rsidP="00184951">
      <w:pPr>
        <w:rPr>
          <w:sz w:val="24"/>
        </w:rPr>
      </w:pPr>
      <w:r w:rsidRPr="00EF6A73">
        <w:br/>
      </w:r>
      <w:r w:rsidRPr="00EF6A73">
        <w:rPr>
          <w:sz w:val="24"/>
        </w:rPr>
        <w:t xml:space="preserve">The prevalence of occult </w:t>
      </w:r>
      <w:proofErr w:type="spellStart"/>
      <w:r w:rsidRPr="00EF6A73">
        <w:rPr>
          <w:sz w:val="24"/>
        </w:rPr>
        <w:t>leiomyosarcoma</w:t>
      </w:r>
      <w:proofErr w:type="spellEnd"/>
      <w:r w:rsidRPr="00EF6A73">
        <w:rPr>
          <w:sz w:val="24"/>
        </w:rPr>
        <w:t xml:space="preserve"> at surgery for presumed uterine fibroids: A meta-analysis</w:t>
      </w:r>
      <w:r w:rsidRPr="00EF6A73">
        <w:rPr>
          <w:sz w:val="24"/>
        </w:rPr>
        <w:br/>
        <w:t xml:space="preserve">Elizabeth A. </w:t>
      </w:r>
      <w:proofErr w:type="spellStart"/>
      <w:r w:rsidRPr="00EF6A73">
        <w:rPr>
          <w:sz w:val="24"/>
        </w:rPr>
        <w:t>Pritts</w:t>
      </w:r>
      <w:proofErr w:type="spellEnd"/>
      <w:r w:rsidRPr="00EF6A73">
        <w:rPr>
          <w:sz w:val="24"/>
        </w:rPr>
        <w:t>, MD</w:t>
      </w:r>
      <w:r w:rsidRPr="00EF6A73">
        <w:rPr>
          <w:sz w:val="24"/>
          <w:vertAlign w:val="superscript"/>
        </w:rPr>
        <w:t>1</w:t>
      </w:r>
      <w:r w:rsidRPr="00EF6A73">
        <w:rPr>
          <w:sz w:val="24"/>
        </w:rPr>
        <w:t xml:space="preserve">, David J. </w:t>
      </w:r>
      <w:proofErr w:type="spellStart"/>
      <w:r w:rsidRPr="00EF6A73">
        <w:rPr>
          <w:sz w:val="24"/>
        </w:rPr>
        <w:t>Vanness</w:t>
      </w:r>
      <w:proofErr w:type="spellEnd"/>
      <w:r w:rsidRPr="00EF6A73">
        <w:rPr>
          <w:sz w:val="24"/>
        </w:rPr>
        <w:t>, PhD</w:t>
      </w:r>
      <w:r w:rsidRPr="00EF6A73">
        <w:rPr>
          <w:sz w:val="24"/>
          <w:vertAlign w:val="superscript"/>
        </w:rPr>
        <w:t>2</w:t>
      </w:r>
      <w:r w:rsidRPr="00EF6A73">
        <w:rPr>
          <w:sz w:val="24"/>
        </w:rPr>
        <w:t xml:space="preserve">, Jonathan S. </w:t>
      </w:r>
      <w:proofErr w:type="spellStart"/>
      <w:r w:rsidRPr="00EF6A73">
        <w:rPr>
          <w:sz w:val="24"/>
        </w:rPr>
        <w:t>Berek</w:t>
      </w:r>
      <w:proofErr w:type="spellEnd"/>
      <w:r w:rsidRPr="00EF6A73">
        <w:rPr>
          <w:sz w:val="24"/>
        </w:rPr>
        <w:t>, MD, MMS</w:t>
      </w:r>
      <w:r w:rsidRPr="00EF6A73">
        <w:rPr>
          <w:sz w:val="24"/>
          <w:vertAlign w:val="superscript"/>
        </w:rPr>
        <w:t>3</w:t>
      </w:r>
      <w:r w:rsidRPr="00EF6A73">
        <w:rPr>
          <w:sz w:val="24"/>
        </w:rPr>
        <w:t>, William Parker, MD</w:t>
      </w:r>
      <w:r w:rsidRPr="00EF6A73">
        <w:rPr>
          <w:sz w:val="24"/>
          <w:vertAlign w:val="superscript"/>
        </w:rPr>
        <w:t>4</w:t>
      </w:r>
      <w:r w:rsidRPr="00EF6A73">
        <w:rPr>
          <w:sz w:val="24"/>
        </w:rPr>
        <w:t>, Ronald Feinberg, MD, PhD</w:t>
      </w:r>
      <w:r w:rsidRPr="00EF6A73">
        <w:rPr>
          <w:sz w:val="24"/>
          <w:vertAlign w:val="superscript"/>
        </w:rPr>
        <w:t>5</w:t>
      </w:r>
      <w:r w:rsidRPr="00EF6A73">
        <w:rPr>
          <w:sz w:val="24"/>
        </w:rPr>
        <w:t>, Jacqueline Feinberg, BA</w:t>
      </w:r>
      <w:r w:rsidRPr="00EF6A73">
        <w:rPr>
          <w:sz w:val="24"/>
          <w:vertAlign w:val="superscript"/>
        </w:rPr>
        <w:t>5</w:t>
      </w:r>
      <w:r w:rsidRPr="00EF6A73">
        <w:rPr>
          <w:sz w:val="24"/>
        </w:rPr>
        <w:t>, David L. Olive, MD</w:t>
      </w:r>
      <w:r w:rsidRPr="00EF6A73">
        <w:rPr>
          <w:sz w:val="24"/>
          <w:vertAlign w:val="superscript"/>
        </w:rPr>
        <w:t>1</w:t>
      </w:r>
      <w:r w:rsidRPr="00EF6A73">
        <w:rPr>
          <w:sz w:val="24"/>
        </w:rPr>
        <w:t xml:space="preserve">. </w:t>
      </w:r>
      <w:r w:rsidRPr="00EF6A73">
        <w:rPr>
          <w:sz w:val="24"/>
        </w:rPr>
        <w:br/>
        <w:t> </w:t>
      </w:r>
      <w:r w:rsidRPr="00EF6A73">
        <w:rPr>
          <w:sz w:val="24"/>
        </w:rPr>
        <w:br/>
      </w:r>
      <w:r w:rsidRPr="00EF6A73">
        <w:rPr>
          <w:sz w:val="24"/>
          <w:vertAlign w:val="superscript"/>
        </w:rPr>
        <w:t>1</w:t>
      </w:r>
      <w:r w:rsidRPr="00EF6A73">
        <w:rPr>
          <w:sz w:val="24"/>
        </w:rPr>
        <w:t xml:space="preserve">Wisconsin Fertility Institute, </w:t>
      </w:r>
      <w:r w:rsidRPr="00EF6A73">
        <w:rPr>
          <w:sz w:val="24"/>
          <w:vertAlign w:val="superscript"/>
        </w:rPr>
        <w:t>2</w:t>
      </w:r>
      <w:r w:rsidRPr="00EF6A73">
        <w:rPr>
          <w:sz w:val="24"/>
        </w:rPr>
        <w:t xml:space="preserve">University of Wisconsin School of Medicine and Public Health, </w:t>
      </w:r>
      <w:r w:rsidRPr="00EF6A73">
        <w:rPr>
          <w:sz w:val="24"/>
          <w:vertAlign w:val="superscript"/>
        </w:rPr>
        <w:t>3</w:t>
      </w:r>
      <w:r w:rsidRPr="00EF6A73">
        <w:rPr>
          <w:sz w:val="24"/>
        </w:rPr>
        <w:t xml:space="preserve">Stanford University School of Medicine, </w:t>
      </w:r>
      <w:r w:rsidRPr="00EF6A73">
        <w:rPr>
          <w:sz w:val="24"/>
          <w:vertAlign w:val="superscript"/>
        </w:rPr>
        <w:t>4</w:t>
      </w:r>
      <w:r w:rsidRPr="00EF6A73">
        <w:rPr>
          <w:sz w:val="24"/>
        </w:rPr>
        <w:t>University of California, Los Angeles</w:t>
      </w:r>
      <w:proofErr w:type="gramStart"/>
      <w:r w:rsidRPr="00EF6A73">
        <w:rPr>
          <w:sz w:val="24"/>
        </w:rPr>
        <w:t>,</w:t>
      </w:r>
      <w:r w:rsidRPr="00EF6A73">
        <w:rPr>
          <w:sz w:val="24"/>
          <w:vertAlign w:val="superscript"/>
        </w:rPr>
        <w:t>5</w:t>
      </w:r>
      <w:r w:rsidRPr="00EF6A73">
        <w:rPr>
          <w:sz w:val="24"/>
        </w:rPr>
        <w:t>Reproductive</w:t>
      </w:r>
      <w:proofErr w:type="gramEnd"/>
      <w:r w:rsidRPr="00EF6A73">
        <w:rPr>
          <w:sz w:val="24"/>
        </w:rPr>
        <w:t xml:space="preserve"> Associates of Delaware.</w:t>
      </w:r>
      <w:r w:rsidRPr="00EF6A73">
        <w:rPr>
          <w:sz w:val="24"/>
        </w:rPr>
        <w:br/>
        <w:t> </w:t>
      </w:r>
      <w:r w:rsidRPr="00EF6A73">
        <w:rPr>
          <w:sz w:val="24"/>
        </w:rPr>
        <w:br/>
        <w:t xml:space="preserve">Corresponding Author: Elizabeth </w:t>
      </w:r>
      <w:proofErr w:type="spellStart"/>
      <w:r w:rsidRPr="00EF6A73">
        <w:rPr>
          <w:sz w:val="24"/>
        </w:rPr>
        <w:t>Pritts</w:t>
      </w:r>
      <w:proofErr w:type="spellEnd"/>
      <w:r w:rsidRPr="00EF6A73">
        <w:rPr>
          <w:sz w:val="24"/>
        </w:rPr>
        <w:t xml:space="preserve">, MD.  Email: epritts@wisconsinfertilty.com </w:t>
      </w:r>
    </w:p>
    <w:p w:rsidR="00EF6A73" w:rsidRDefault="00EF6A73" w:rsidP="00184951"/>
    <w:p w:rsidR="00184951" w:rsidRDefault="00C02E8A" w:rsidP="00184951">
      <w:r>
        <w:t xml:space="preserve">Supplemental Digital Content 2: </w:t>
      </w:r>
      <w:r w:rsidR="000D5A22">
        <w:t>Bayesian statistical details and model code</w:t>
      </w:r>
    </w:p>
    <w:p w:rsidR="00184951" w:rsidRDefault="00184951" w:rsidP="00184951">
      <w:r>
        <w:t>We conducted meta-analysis using a Bayesian random effects binomial-logit likelihood model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184951"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center"/>
            </w:pPr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43C03" w:rsidP="00AD540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-Regular" w:hAnsi="STIXGeneral-Regular" w:cs="STIXGeneral-Regular"/>
                      </w:rPr>
                      <m:t>r</m:t>
                    </m:r>
                  </m:e>
                  <m:sub>
                    <m:r>
                      <w:rPr>
                        <w:rFonts w:ascii="STIXGeneral-Regular" w:hAnsi="STIXGeneral-Regular" w:cs="STIXGeneral-Regula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~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Binomial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STIXGeneral-Regular" w:hAnsi="STIXGeneral-Regular" w:cs="STIXGeneral-Regula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STIXGeneral-Regular" w:hAnsi="STIXGeneral-Regular" w:cs="STIXGeneral-Regula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STIXGeneral-Regular" w:hAnsi="STIXGeneral-Regular" w:cs="STIXGeneral-Regula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STIXGeneral-Regular" w:hAnsi="STIXGeneral-Regular" w:cs="STIXGeneral-Regular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right"/>
            </w:pPr>
            <w:r>
              <w:t>1a.</w:t>
            </w:r>
          </w:p>
        </w:tc>
      </w:tr>
      <w:tr w:rsidR="00184951"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center"/>
            </w:pPr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184951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r>
                  <m:rPr>
                    <m:sty m:val="p"/>
                  </m:rPr>
                  <w:rPr>
                    <w:rFonts w:ascii="Monaco" w:eastAsiaTheme="minorEastAsia" w:hAnsi="Monaco" w:cs="Monaco"/>
                  </w:rPr>
                  <m:t>⁡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STIXGeneral-Regular" w:eastAsiaTheme="minorEastAsia" w:hAnsi="STIXGeneral-Regular" w:cs="STIXGeneral-Regular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i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-Regular" w:eastAsiaTheme="minorEastAsia" w:hAnsi="STIXGeneral-Regular" w:cs="STIXGeneral-Regular"/>
                      </w:rPr>
                      <m:t>α</m:t>
                    </m:r>
                  </m:e>
                  <m:sub>
                    <m:r>
                      <w:rPr>
                        <w:rFonts w:ascii="STIXGeneral-Regular" w:eastAsiaTheme="minorEastAsia" w:hAnsi="STIXGeneral-Regular" w:cs="STIXGeneral-Regula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right"/>
            </w:pPr>
            <w:r>
              <w:t>1b.</w:t>
            </w:r>
          </w:p>
        </w:tc>
      </w:tr>
      <w:tr w:rsidR="00184951"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center"/>
            </w:pPr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43C03" w:rsidP="00AD540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-Regular" w:eastAsiaTheme="minorEastAsia" w:hAnsi="STIXGeneral-Regular" w:cs="STIXGeneral-Regular"/>
                      </w:rPr>
                      <m:t>α</m:t>
                    </m:r>
                  </m:e>
                  <m:sub>
                    <m:r>
                      <w:rPr>
                        <w:rFonts w:ascii="STIXGeneral-Regular" w:eastAsiaTheme="minorEastAsia" w:hAnsi="STIXGeneral-Regular" w:cs="STIXGeneral-Regula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~ </m:t>
                </m:r>
                <m:r>
                  <w:rPr>
                    <w:rFonts w:ascii="STIXGeneral-Regular" w:eastAsiaTheme="minorEastAsia" w:hAnsi="STIXGeneral-Regular" w:cs="STIXGeneral-Regular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STIXGeneral-Regular" w:eastAsiaTheme="minorEastAsia" w:hAnsi="STIXGeneral-Regular" w:cs="STIXGeneral-Regular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STIXGeneral-Regular" w:eastAsiaTheme="minorEastAsia" w:hAnsi="STIXGeneral-Regular" w:cs="STIXGeneral-Regular"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STIXGeneral-Regular" w:eastAsiaTheme="minorEastAsia" w:hAnsi="STIXGeneral-Regular" w:cs="STIXGeneral-Regular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right"/>
            </w:pPr>
            <w:r>
              <w:t>1c.</w:t>
            </w:r>
          </w:p>
        </w:tc>
      </w:tr>
    </w:tbl>
    <w:p w:rsidR="00184951" w:rsidRDefault="00184951" w:rsidP="00184951">
      <w:pPr>
        <w:rPr>
          <w:rFonts w:eastAsiaTheme="minorEastAsia"/>
        </w:rPr>
      </w:pPr>
    </w:p>
    <w:p w:rsidR="00184951" w:rsidRDefault="00184951" w:rsidP="00184951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STIXGeneral-Regular" w:hAnsi="STIXGeneral-Regular" w:cs="STIXGeneral-Regular"/>
              </w:rPr>
              <m:t>r</m:t>
            </m:r>
          </m:e>
          <m:sub>
            <m:r>
              <w:rPr>
                <w:rFonts w:ascii="STIXGeneral-Regular" w:hAnsi="STIXGeneral-Regular" w:cs="STIXGeneral-Regular"/>
              </w:rPr>
              <m:t>i</m:t>
            </m:r>
          </m:sub>
        </m:sSub>
      </m:oMath>
      <w:r>
        <w:rPr>
          <w:rFonts w:eastAsiaTheme="minorEastAsia"/>
        </w:rPr>
        <w:t xml:space="preserve"> is the observed number of leiomyosarcomas out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STIXGeneral-Regular" w:eastAsiaTheme="minorEastAsia" w:hAnsi="STIXGeneral-Regular" w:cs="STIXGeneral-Regular"/>
              </w:rPr>
              <m:t>n</m:t>
            </m:r>
          </m:e>
          <m:sub>
            <m:r>
              <w:rPr>
                <w:rFonts w:ascii="STIXGeneral-Regular" w:eastAsiaTheme="minorEastAsia" w:hAnsi="STIXGeneral-Regular" w:cs="STIXGeneral-Regular"/>
              </w:rPr>
              <m:t>i</m:t>
            </m:r>
          </m:sub>
        </m:sSub>
      </m:oMath>
      <w:r>
        <w:rPr>
          <w:rFonts w:eastAsiaTheme="minorEastAsia"/>
        </w:rPr>
        <w:t xml:space="preserve"> cases observed in study </w:t>
      </w:r>
      <m:oMath>
        <m:r>
          <w:rPr>
            <w:rFonts w:ascii="STIXGeneral-Regular" w:eastAsiaTheme="minorEastAsia" w:hAnsi="STIXGeneral-Regular" w:cs="STIXGeneral-Regular"/>
          </w:rPr>
          <m:t>i</m:t>
        </m:r>
      </m:oMath>
      <w:r>
        <w:rPr>
          <w:rFonts w:eastAsiaTheme="minorEastAsia"/>
        </w:rPr>
        <w:t xml:space="preserve">.  </w:t>
      </w:r>
      <w:r w:rsidR="00BF64D8">
        <w:rPr>
          <w:rFonts w:eastAsiaTheme="minorEastAsia"/>
        </w:rPr>
        <w:t xml:space="preserve">Random effects models assume exchangeability; that is, the </w:t>
      </w:r>
      <w:proofErr w:type="gramStart"/>
      <w:r w:rsidR="00BF64D8">
        <w:rPr>
          <w:rFonts w:eastAsiaTheme="minorEastAsia"/>
        </w:rPr>
        <w:t>prevalence  of</w:t>
      </w:r>
      <w:proofErr w:type="gramEnd"/>
      <w:r w:rsidR="00BF64D8">
        <w:rPr>
          <w:rFonts w:eastAsiaTheme="minorEastAsia"/>
        </w:rPr>
        <w:t xml:space="preserve"> leiomyosarcoma is assumed to vary from study to study around an overall population mean rate for reasons other than sampling variability, but it is not possible to rank-order studies by their predicted rates </w:t>
      </w:r>
      <w:r w:rsidR="00BF64D8">
        <w:rPr>
          <w:rFonts w:eastAsiaTheme="minorEastAsia"/>
          <w:i/>
        </w:rPr>
        <w:t xml:space="preserve">a </w:t>
      </w:r>
      <w:r w:rsidR="00BF64D8" w:rsidRPr="00D47B0F">
        <w:rPr>
          <w:rFonts w:eastAsiaTheme="minorEastAsia"/>
          <w:i/>
        </w:rPr>
        <w:t>priori</w:t>
      </w:r>
      <w:r w:rsidR="00BF64D8">
        <w:rPr>
          <w:rFonts w:eastAsiaTheme="minorEastAsia"/>
        </w:rPr>
        <w:t xml:space="preserve">. </w:t>
      </w:r>
      <w:r>
        <w:rPr>
          <w:rFonts w:eastAsiaTheme="minorEastAsia"/>
        </w:rPr>
        <w:t>The log-odds of leiomyosarcoma for each study</w:t>
      </w:r>
      <w:proofErr w:type="gramStart"/>
      <w:r>
        <w:rPr>
          <w:rFonts w:eastAsiaTheme="minorEastAsia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/>
          </w:rPr>
          <m:t>log</m:t>
        </m:r>
        <w:proofErr w:type="gramEnd"/>
        <m:r>
          <m:rPr>
            <m:sty m:val="p"/>
          </m:rPr>
          <w:rPr>
            <w:rFonts w:ascii="Monaco" w:eastAsiaTheme="minorEastAsia" w:hAnsi="Monaco" w:cs="Monaco"/>
          </w:rPr>
          <m:t>⁡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-Regular" w:eastAsiaTheme="minorEastAsia" w:hAnsi="STIXGeneral-Regular" w:cs="STIXGeneral-Regular"/>
                      </w:rPr>
                      <m:t>p</m:t>
                    </m:r>
                  </m:e>
                  <m:sub>
                    <m:r>
                      <w:rPr>
                        <w:rFonts w:ascii="STIXGeneral-Regular" w:eastAsiaTheme="minorEastAsia" w:hAnsi="STIXGeneral-Regular" w:cs="STIXGeneral-Regula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STIXGeneral-Regular" w:eastAsiaTheme="minorEastAsia" w:hAnsi="STIXGeneral-Regular" w:cs="STIXGeneral-Regular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STIXGeneral-Regular" w:eastAsiaTheme="minorEastAsia" w:hAnsi="STIXGeneral-Regular" w:cs="STIXGeneral-Regular"/>
                      </w:rPr>
                      <m:t>i</m:t>
                    </m:r>
                  </m:e>
                </m:d>
              </m:den>
            </m:f>
          </m:e>
        </m:d>
      </m:oMath>
      <w:r>
        <w:rPr>
          <w:rFonts w:eastAsiaTheme="minorEastAsia"/>
        </w:rPr>
        <w:t xml:space="preserve">, are assumed to be distributed normally around the mean log-odds,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STIXGeneral-Regular" w:eastAsiaTheme="minorEastAsia" w:hAnsi="STIXGeneral-Regular" w:cs="STIXGeneral-Regular"/>
              </w:rPr>
              <m:t>μ</m:t>
            </m:r>
          </m:e>
          <m:sub>
            <m:r>
              <w:rPr>
                <w:rFonts w:ascii="STIXGeneral-Regular" w:eastAsiaTheme="minorEastAsia" w:hAnsi="STIXGeneral-Regular" w:cs="STIXGeneral-Regular"/>
              </w:rPr>
              <m:t>a</m:t>
            </m:r>
          </m:sub>
        </m:sSub>
      </m:oMath>
      <w:r>
        <w:rPr>
          <w:rFonts w:eastAsiaTheme="minorEastAsia"/>
        </w:rPr>
        <w:t xml:space="preserve">, with between-study heterogeneity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STIXGeneral-Regular" w:eastAsiaTheme="minorEastAsia" w:hAnsi="STIXGeneral-Regular" w:cs="STIXGeneral-Regular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).</w:t>
      </w:r>
    </w:p>
    <w:p w:rsidR="00184951" w:rsidRDefault="00BF64D8" w:rsidP="00184951">
      <w:pPr>
        <w:rPr>
          <w:rFonts w:eastAsiaTheme="minorEastAsia"/>
        </w:rPr>
      </w:pPr>
      <w:r>
        <w:rPr>
          <w:rFonts w:eastAsiaTheme="minorEastAsia"/>
        </w:rPr>
        <w:t>Transforming from the log-odds to the probability scale, p</w:t>
      </w:r>
      <w:r w:rsidR="00184951">
        <w:rPr>
          <w:rFonts w:eastAsiaTheme="minorEastAsia"/>
        </w:rPr>
        <w:t xml:space="preserve">redicted prevalence </w:t>
      </w:r>
      <w:r>
        <w:rPr>
          <w:rFonts w:eastAsiaTheme="minorEastAsia"/>
        </w:rPr>
        <w:t xml:space="preserve">of leiomyosarcoma </w:t>
      </w:r>
      <w:r w:rsidR="00184951">
        <w:rPr>
          <w:rFonts w:eastAsiaTheme="minorEastAsia"/>
        </w:rPr>
        <w:t>is therefore: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5670"/>
        <w:gridCol w:w="1998"/>
      </w:tblGrid>
      <w:tr w:rsidR="00184951">
        <w:tc>
          <w:tcPr>
            <w:tcW w:w="190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center"/>
              <w:rPr>
                <w:rFonts w:eastAsiaTheme="minorEastAsia"/>
              </w:rPr>
            </w:pPr>
          </w:p>
        </w:tc>
        <w:tc>
          <w:tcPr>
            <w:tcW w:w="567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43C03" w:rsidP="00184951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STIXGeneral-Regular" w:eastAsiaTheme="minorEastAsia" w:hAnsi="STIXGeneral-Regular" w:cs="STIXGeneral-Regular"/>
                      </w:rPr>
                      <m:t>p</m:t>
                    </m:r>
                  </m:e>
                  <m:sup>
                    <m:r>
                      <w:rPr>
                        <w:rFonts w:ascii="Monaco" w:eastAsiaTheme="minorEastAsia" w:hAnsi="Monaco" w:cs="Monaco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STIXGeneral-Regular" w:eastAsiaTheme="minorEastAsia" w:hAnsi="STIXGeneral-Regular" w:cs="STIXGeneral-Regular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a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STIXGeneral-Regular" w:eastAsiaTheme="minorEastAsia" w:hAnsi="STIXGeneral-Regular" w:cs="STIXGeneral-Regular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STIXGeneral-Regular" w:eastAsiaTheme="minorEastAsia" w:hAnsi="STIXGeneral-Regular" w:cs="STIXGeneral-Regular"/>
                              </w:rPr>
                              <m:t>a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199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BF64D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9E1D73">
              <w:rPr>
                <w:rFonts w:eastAsiaTheme="minorEastAsia"/>
              </w:rPr>
              <w:t>.</w:t>
            </w:r>
          </w:p>
        </w:tc>
      </w:tr>
    </w:tbl>
    <w:p w:rsidR="00184951" w:rsidRDefault="00184951" w:rsidP="00184951">
      <w:pPr>
        <w:rPr>
          <w:rFonts w:eastAsiaTheme="minorEastAsia"/>
        </w:rPr>
      </w:pPr>
    </w:p>
    <w:p w:rsidR="00184951" w:rsidRDefault="00184951" w:rsidP="00184951">
      <w:pPr>
        <w:rPr>
          <w:rFonts w:eastAsiaTheme="minorEastAsia"/>
        </w:rPr>
      </w:pPr>
      <w:r>
        <w:rPr>
          <w:rFonts w:eastAsiaTheme="minorEastAsia"/>
        </w:rPr>
        <w:t xml:space="preserve">We used a minimally informative normal prior for the mean </w:t>
      </w:r>
      <w:r w:rsidR="00BF64D8">
        <w:rPr>
          <w:rFonts w:eastAsiaTheme="minorEastAsia"/>
        </w:rPr>
        <w:t xml:space="preserve">of the random-effects distribution </w:t>
      </w:r>
      <w:r>
        <w:rPr>
          <w:rFonts w:eastAsiaTheme="minorEastAsia"/>
        </w:rPr>
        <w:t>and a</w:t>
      </w:r>
      <w:r w:rsidR="00BF64D8">
        <w:rPr>
          <w:rFonts w:eastAsiaTheme="minorEastAsia"/>
        </w:rPr>
        <w:t xml:space="preserve"> wide uniform prior </w:t>
      </w:r>
      <w:r>
        <w:rPr>
          <w:rFonts w:eastAsiaTheme="minorEastAsia"/>
        </w:rPr>
        <w:t>for between-study heterogeneity: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184951"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center"/>
              <w:rPr>
                <w:rFonts w:eastAsiaTheme="minorEastAsia"/>
              </w:rPr>
            </w:pPr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43C03" w:rsidP="00AD540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STIXGeneral-Regular" w:eastAsiaTheme="minorEastAsia" w:hAnsi="STIXGeneral-Regular" w:cs="STIXGeneral-Regular"/>
                      </w:rPr>
                      <m:t>μ</m:t>
                    </m:r>
                  </m:e>
                  <m:sub>
                    <m:r>
                      <w:rPr>
                        <w:rFonts w:ascii="STIXGeneral-Regular" w:eastAsiaTheme="minorEastAsia" w:hAnsi="STIXGeneral-Regular" w:cs="STIXGeneral-Regular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~ </m:t>
                </m:r>
                <m:r>
                  <w:rPr>
                    <w:rFonts w:ascii="STIXGeneral-Regular" w:eastAsiaTheme="minorEastAsia" w:hAnsi="STIXGeneral-Regular" w:cs="STIXGeneral-Regular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0,10000</m:t>
                    </m:r>
                  </m:e>
                </m:d>
              </m:oMath>
            </m:oMathPara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3a.</w:t>
            </w:r>
          </w:p>
        </w:tc>
      </w:tr>
      <w:tr w:rsidR="00184951"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AD5403">
            <w:pPr>
              <w:jc w:val="center"/>
              <w:rPr>
                <w:rFonts w:eastAsiaTheme="minorEastAsia"/>
              </w:rPr>
            </w:pPr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BF64D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STIXGeneral-Regular" w:eastAsiaTheme="minorEastAsia" w:hAnsi="STIXGeneral-Regular" w:cs="STIXGeneral-Regular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 xml:space="preserve"> ~ </m:t>
                </m:r>
                <m:r>
                  <w:rPr>
                    <w:rFonts w:ascii="STIXGeneral-Regular" w:eastAsiaTheme="minorEastAsia" w:hAnsi="STIXGeneral-Regular" w:cs="STIXGeneral-Regular"/>
                  </w:rPr>
                  <m:t>U</m:t>
                </m:r>
                <m:r>
                  <w:rPr>
                    <w:rFonts w:ascii="Cambria Math" w:eastAsiaTheme="minorEastAsia" w:hAnsi="Cambria Math"/>
                  </w:rPr>
                  <m:t>(0, 10)</m:t>
                </m:r>
              </m:oMath>
            </m:oMathPara>
          </w:p>
        </w:tc>
        <w:tc>
          <w:tcPr>
            <w:tcW w:w="3192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84951" w:rsidRDefault="00184951" w:rsidP="00BF64D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="00BF64D8">
              <w:rPr>
                <w:rFonts w:eastAsiaTheme="minorEastAsia"/>
              </w:rPr>
              <w:t>b</w:t>
            </w:r>
            <w:r>
              <w:rPr>
                <w:rFonts w:eastAsiaTheme="minorEastAsia"/>
              </w:rPr>
              <w:t>.</w:t>
            </w:r>
          </w:p>
        </w:tc>
      </w:tr>
    </w:tbl>
    <w:p w:rsidR="00184951" w:rsidRDefault="00184951" w:rsidP="00184951">
      <w:pPr>
        <w:rPr>
          <w:rFonts w:eastAsiaTheme="minorEastAsia"/>
        </w:rPr>
      </w:pPr>
    </w:p>
    <w:p w:rsidR="00184951" w:rsidRDefault="00184951" w:rsidP="00184951">
      <w:pPr>
        <w:rPr>
          <w:rFonts w:eastAsiaTheme="minorEastAsia"/>
        </w:rPr>
      </w:pPr>
      <w:r>
        <w:rPr>
          <w:rFonts w:eastAsiaTheme="minorEastAsia"/>
        </w:rPr>
        <w:t xml:space="preserve">Separate analyses were conducted for </w:t>
      </w:r>
      <w:r w:rsidR="00BF64D8">
        <w:rPr>
          <w:rFonts w:eastAsiaTheme="minorEastAsia"/>
        </w:rPr>
        <w:t>prospective studies only (</w:t>
      </w:r>
      <m:oMath>
        <m:r>
          <w:rPr>
            <w:rFonts w:ascii="STIXGeneral-Regular" w:eastAsiaTheme="minorEastAsia" w:hAnsi="STIXGeneral-Regular" w:cs="STIXGeneral-Regular"/>
          </w:rPr>
          <m:t>n</m:t>
        </m:r>
        <m:r>
          <w:rPr>
            <w:rFonts w:ascii="Cambria Math" w:eastAsiaTheme="minorEastAsia" w:hAnsi="Cambria Math"/>
          </w:rPr>
          <m:t>=64</m:t>
        </m:r>
      </m:oMath>
      <w:r w:rsidR="00BF64D8">
        <w:rPr>
          <w:rFonts w:eastAsiaTheme="minorEastAsia"/>
        </w:rPr>
        <w:t>)</w:t>
      </w:r>
      <w:r w:rsidR="005F3E10">
        <w:rPr>
          <w:rFonts w:eastAsiaTheme="minorEastAsia"/>
        </w:rPr>
        <w:t>,</w:t>
      </w:r>
      <w:r w:rsidR="00BF64D8">
        <w:rPr>
          <w:rFonts w:eastAsiaTheme="minorEastAsia"/>
        </w:rPr>
        <w:t xml:space="preserve"> retrospective studies only (</w:t>
      </w:r>
      <m:oMath>
        <m:r>
          <w:rPr>
            <w:rFonts w:ascii="STIXGeneral-Regular" w:eastAsiaTheme="minorEastAsia" w:hAnsi="STIXGeneral-Regular" w:cs="STIXGeneral-Regular"/>
          </w:rPr>
          <m:t>n</m:t>
        </m:r>
        <m:r>
          <w:rPr>
            <w:rFonts w:ascii="Cambria Math" w:eastAsiaTheme="minorEastAsia" w:hAnsi="Cambria Math"/>
          </w:rPr>
          <m:t>=70</m:t>
        </m:r>
      </m:oMath>
      <w:r w:rsidR="00BF64D8">
        <w:rPr>
          <w:rFonts w:eastAsiaTheme="minorEastAsia"/>
        </w:rPr>
        <w:t>)</w:t>
      </w:r>
      <w:r w:rsidR="005F3E10">
        <w:rPr>
          <w:rFonts w:eastAsiaTheme="minorEastAsia"/>
        </w:rPr>
        <w:t xml:space="preserve"> and both types combined (</w:t>
      </w:r>
      <m:oMath>
        <m:r>
          <w:rPr>
            <w:rFonts w:ascii="STIXGeneral-Regular" w:eastAsiaTheme="minorEastAsia" w:hAnsi="STIXGeneral-Regular" w:cs="STIXGeneral-Regular"/>
          </w:rPr>
          <m:t>n</m:t>
        </m:r>
        <m:r>
          <w:rPr>
            <w:rFonts w:ascii="Cambria Math" w:eastAsiaTheme="minorEastAsia" w:hAnsi="Cambria Math"/>
          </w:rPr>
          <m:t>=134</m:t>
        </m:r>
      </m:oMath>
      <w:r w:rsidR="005F3E10">
        <w:rPr>
          <w:rFonts w:eastAsiaTheme="minorEastAsia"/>
        </w:rPr>
        <w:t>)</w:t>
      </w:r>
      <w:r w:rsidR="00BF64D8">
        <w:rPr>
          <w:rFonts w:eastAsiaTheme="minorEastAsia"/>
        </w:rPr>
        <w:t xml:space="preserve">.  For sensitivity analysis, we applied our Bayesian specification to the following data: 1) reassigning seven tumors </w:t>
      </w:r>
      <w:r w:rsidR="00807297">
        <w:rPr>
          <w:rFonts w:eastAsiaTheme="minorEastAsia"/>
        </w:rPr>
        <w:t xml:space="preserve">from 3 retrospective studies </w:t>
      </w:r>
      <w:r w:rsidR="00BF64D8">
        <w:rPr>
          <w:rFonts w:eastAsiaTheme="minorEastAsia"/>
        </w:rPr>
        <w:t>not meeting criteria for leiomyosarcoma to be non-events</w:t>
      </w:r>
      <w:r w:rsidR="005F3E10">
        <w:rPr>
          <w:rFonts w:eastAsiaTheme="minorEastAsia"/>
        </w:rPr>
        <w:t xml:space="preserve"> (combined)</w:t>
      </w:r>
      <w:r w:rsidR="00BF64D8">
        <w:rPr>
          <w:rFonts w:eastAsiaTheme="minorEastAsia"/>
        </w:rPr>
        <w:t xml:space="preserve">; 2) </w:t>
      </w:r>
      <w:r>
        <w:rPr>
          <w:rFonts w:eastAsiaTheme="minorEastAsia"/>
        </w:rPr>
        <w:t xml:space="preserve">excluding </w:t>
      </w:r>
      <w:r w:rsidR="00BF64D8">
        <w:rPr>
          <w:rFonts w:eastAsiaTheme="minorEastAsia"/>
        </w:rPr>
        <w:t xml:space="preserve">studies with </w:t>
      </w:r>
      <m:oMath>
        <m:r>
          <w:rPr>
            <w:rFonts w:ascii="STIXGeneral-Regular" w:eastAsiaTheme="minorEastAsia" w:hAnsi="STIXGeneral-Regular" w:cs="STIXGeneral-Regular"/>
          </w:rPr>
          <m:t>n</m:t>
        </m:r>
        <m:r>
          <w:rPr>
            <w:rFonts w:ascii="Cambria Math" w:eastAsiaTheme="minorEastAsia" w:hAnsi="Cambria Math"/>
          </w:rPr>
          <m:t xml:space="preserve"> &lt; 100</m:t>
        </m:r>
      </m:oMath>
      <w:r w:rsidR="005F3E10">
        <w:rPr>
          <w:rFonts w:eastAsiaTheme="minorEastAsia"/>
        </w:rPr>
        <w:t xml:space="preserve"> (prospective and combined); 3) add one leiomyosarcoma to the trial with the largest sample size and no reported events (prospective and combined); 4) add one leiomyosarcoma to the trial with the smallest sample size and no reported events (prospective and combined)</w:t>
      </w:r>
      <w:r w:rsidR="00BF64D8">
        <w:rPr>
          <w:rFonts w:eastAsiaTheme="minorEastAsia"/>
        </w:rPr>
        <w:t xml:space="preserve">; </w:t>
      </w:r>
      <w:r w:rsidR="005F3E10">
        <w:rPr>
          <w:rFonts w:eastAsiaTheme="minorEastAsia"/>
        </w:rPr>
        <w:t>5</w:t>
      </w:r>
      <w:r w:rsidR="00BF64D8">
        <w:rPr>
          <w:rFonts w:eastAsiaTheme="minorEastAsia"/>
        </w:rPr>
        <w:t>)</w:t>
      </w:r>
      <w:r w:rsidR="005F3E10">
        <w:rPr>
          <w:rFonts w:eastAsiaTheme="minorEastAsia"/>
        </w:rPr>
        <w:t xml:space="preserve"> reallocating all leiomyosarcomas to studies based on sample size to investigate the effect of heterogeneity</w:t>
      </w:r>
      <w:r w:rsidR="00BF64D8">
        <w:rPr>
          <w:rFonts w:eastAsiaTheme="minorEastAsia"/>
        </w:rPr>
        <w:t xml:space="preserve"> </w:t>
      </w:r>
      <w:r w:rsidR="005F3E10">
        <w:rPr>
          <w:rFonts w:eastAsiaTheme="minorEastAsia"/>
        </w:rPr>
        <w:t>in observed rates</w:t>
      </w:r>
      <w:r w:rsidR="00284391">
        <w:rPr>
          <w:rFonts w:eastAsiaTheme="minorEastAsia"/>
        </w:rPr>
        <w:t xml:space="preserve"> (combined)</w:t>
      </w:r>
      <w:r w:rsidR="005F3E10">
        <w:rPr>
          <w:rFonts w:eastAsiaTheme="minorEastAsia"/>
        </w:rPr>
        <w:t xml:space="preserve">; 6) </w:t>
      </w:r>
      <w:r w:rsidR="008C73A1">
        <w:rPr>
          <w:rFonts w:eastAsiaTheme="minorEastAsia"/>
        </w:rPr>
        <w:t xml:space="preserve">dataset used by the </w:t>
      </w:r>
      <w:r>
        <w:rPr>
          <w:rFonts w:eastAsiaTheme="minorEastAsia"/>
        </w:rPr>
        <w:t>FDA in its meta-analysis (</w:t>
      </w:r>
      <m:oMath>
        <m:r>
          <w:rPr>
            <w:rFonts w:ascii="STIXGeneral-Regular" w:eastAsiaTheme="minorEastAsia" w:hAnsi="STIXGeneral-Regular" w:cs="STIXGeneral-Regular"/>
          </w:rPr>
          <m:t>n</m:t>
        </m:r>
        <m:r>
          <w:rPr>
            <w:rFonts w:ascii="Cambria Math" w:eastAsiaTheme="minorEastAsia" w:hAnsi="Cambria Math"/>
          </w:rPr>
          <m:t>=9</m:t>
        </m:r>
      </m:oMath>
      <w:r>
        <w:rPr>
          <w:rFonts w:eastAsiaTheme="minorEastAsia"/>
        </w:rPr>
        <w:t xml:space="preserve">).  </w:t>
      </w:r>
    </w:p>
    <w:p w:rsidR="00184951" w:rsidRDefault="00184951" w:rsidP="00184951">
      <w:pPr>
        <w:rPr>
          <w:rFonts w:eastAsiaTheme="minorEastAsia"/>
        </w:rPr>
      </w:pPr>
      <w:r>
        <w:rPr>
          <w:rFonts w:eastAsiaTheme="minorEastAsia"/>
        </w:rPr>
        <w:t xml:space="preserve">We used Markov Chain Monte Carlo (MCMC) simulation to estimate the posterior distribution of model parameters and predicted </w:t>
      </w:r>
      <w:r w:rsidR="008C73A1">
        <w:rPr>
          <w:rFonts w:eastAsiaTheme="minorEastAsia"/>
        </w:rPr>
        <w:t>leiomyosarcoma</w:t>
      </w:r>
      <w:r>
        <w:rPr>
          <w:rFonts w:eastAsiaTheme="minorEastAsia"/>
        </w:rPr>
        <w:t xml:space="preserve"> prevalence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STIXGeneral-Regular" w:eastAsiaTheme="minorEastAsia" w:hAnsi="STIXGeneral-Regular" w:cs="STIXGeneral-Regular"/>
              </w:rPr>
              <m:t>p</m:t>
            </m:r>
          </m:e>
          <m:sup>
            <m:r>
              <w:rPr>
                <w:rFonts w:ascii="Monaco" w:eastAsiaTheme="minorEastAsia" w:hAnsi="Monaco" w:cs="Monaco"/>
              </w:rPr>
              <m:t>*</m:t>
            </m:r>
          </m:sup>
        </m:sSup>
      </m:oMath>
      <w:r>
        <w:rPr>
          <w:rFonts w:eastAsiaTheme="minorEastAsia"/>
        </w:rPr>
        <w:t xml:space="preserve"> using JAGS (v. 3.3) in the R statistical environment (v. 3.</w:t>
      </w:r>
      <w:r w:rsidR="008C73A1">
        <w:rPr>
          <w:rFonts w:eastAsiaTheme="minorEastAsia"/>
        </w:rPr>
        <w:t>1</w:t>
      </w:r>
      <w:r>
        <w:rPr>
          <w:rFonts w:eastAsiaTheme="minorEastAsia"/>
        </w:rPr>
        <w:t>.</w:t>
      </w:r>
      <w:r w:rsidR="008C73A1">
        <w:rPr>
          <w:rFonts w:eastAsiaTheme="minorEastAsia"/>
        </w:rPr>
        <w:t>1</w:t>
      </w:r>
      <w:r>
        <w:rPr>
          <w:rFonts w:eastAsiaTheme="minorEastAsia"/>
        </w:rPr>
        <w:t xml:space="preserve"> for 64 bit Windows) with packages rjags (v. 3-13) and coda (v. 0.16-1).  </w:t>
      </w:r>
      <w:r w:rsidR="009E1D73">
        <w:rPr>
          <w:rFonts w:eastAsiaTheme="minorEastAsia"/>
        </w:rPr>
        <w:t xml:space="preserve">JAGS model code is provided in Figure S.  </w:t>
      </w:r>
      <w:r w:rsidR="008C73A1">
        <w:rPr>
          <w:rFonts w:eastAsiaTheme="minorEastAsia"/>
        </w:rPr>
        <w:t xml:space="preserve">Parameter and prevalence point estimates were derived from the posterior mean, and </w:t>
      </w:r>
      <w:r>
        <w:rPr>
          <w:rFonts w:eastAsiaTheme="minorEastAsia"/>
        </w:rPr>
        <w:t xml:space="preserve">95% credible intervals </w:t>
      </w:r>
      <w:r w:rsidR="008C73A1">
        <w:rPr>
          <w:rFonts w:eastAsiaTheme="minorEastAsia"/>
        </w:rPr>
        <w:t>(</w:t>
      </w:r>
      <w:proofErr w:type="spellStart"/>
      <w:r w:rsidR="008C73A1">
        <w:rPr>
          <w:rFonts w:eastAsiaTheme="minorEastAsia"/>
        </w:rPr>
        <w:t>CrI</w:t>
      </w:r>
      <w:proofErr w:type="spellEnd"/>
      <w:r w:rsidR="008C73A1">
        <w:rPr>
          <w:rFonts w:eastAsiaTheme="minorEastAsia"/>
        </w:rPr>
        <w:t xml:space="preserve">) were constructed </w:t>
      </w:r>
      <w:r>
        <w:rPr>
          <w:rFonts w:eastAsiaTheme="minorEastAsia"/>
        </w:rPr>
        <w:t>from the</w:t>
      </w:r>
      <w:r w:rsidR="008C73A1">
        <w:rPr>
          <w:rFonts w:eastAsiaTheme="minorEastAsia"/>
        </w:rPr>
        <w:t xml:space="preserve"> posterior</w:t>
      </w:r>
      <w:r>
        <w:rPr>
          <w:rFonts w:eastAsiaTheme="minorEastAsia"/>
        </w:rPr>
        <w:t xml:space="preserve"> .025 and .975 percentiles.  Unlike confidence intervals</w:t>
      </w:r>
      <w:r w:rsidR="008C73A1">
        <w:rPr>
          <w:rFonts w:eastAsiaTheme="minorEastAsia"/>
        </w:rPr>
        <w:t xml:space="preserve"> (CI) generated from classical estimation procedures</w:t>
      </w:r>
      <w:r>
        <w:rPr>
          <w:rFonts w:eastAsiaTheme="minorEastAsia"/>
        </w:rPr>
        <w:t>, it is permissible to interpret the 95% credible interval as having 95% probability of containing the true unknown prevalence, given the available data</w:t>
      </w:r>
      <w:r w:rsidR="008C73A1">
        <w:rPr>
          <w:rFonts w:eastAsiaTheme="minorEastAsia"/>
        </w:rPr>
        <w:t xml:space="preserve"> and model specification</w:t>
      </w:r>
      <w:r>
        <w:rPr>
          <w:rFonts w:eastAsiaTheme="minorEastAsia"/>
        </w:rPr>
        <w:t>.</w:t>
      </w:r>
      <w:r w:rsidR="008C73A1">
        <w:rPr>
          <w:rFonts w:eastAsiaTheme="minorEastAsia"/>
        </w:rPr>
        <w:t xml:space="preserve">  </w:t>
      </w:r>
    </w:p>
    <w:p w:rsidR="008C73A1" w:rsidRDefault="008C73A1" w:rsidP="00184951">
      <w:pPr>
        <w:rPr>
          <w:rFonts w:eastAsiaTheme="minorEastAsia"/>
        </w:rPr>
      </w:pPr>
      <w:r>
        <w:rPr>
          <w:rFonts w:eastAsiaTheme="minorEastAsia"/>
        </w:rPr>
        <w:t xml:space="preserve">Ten parallel chains were run in adaptive mode for 100,000 iterations.  Inference samples were then drawn from an additional 500,000 iterations per </w:t>
      </w:r>
      <w:proofErr w:type="gramStart"/>
      <w:r>
        <w:rPr>
          <w:rFonts w:eastAsiaTheme="minorEastAsia"/>
        </w:rPr>
        <w:t>chain,</w:t>
      </w:r>
      <w:proofErr w:type="gramEnd"/>
      <w:r>
        <w:rPr>
          <w:rFonts w:eastAsiaTheme="minorEastAsia"/>
        </w:rPr>
        <w:t xml:space="preserve"> thinned 100 to 1 and pooled to yield 50,000 total posterior samples.  Convergence was confirmed using the </w:t>
      </w:r>
      <w:proofErr w:type="spellStart"/>
      <w:r>
        <w:rPr>
          <w:rFonts w:eastAsiaTheme="minorEastAsia"/>
        </w:rPr>
        <w:t>Gelman</w:t>
      </w:r>
      <w:proofErr w:type="spellEnd"/>
      <w:r>
        <w:rPr>
          <w:rFonts w:eastAsiaTheme="minorEastAsia"/>
        </w:rPr>
        <w:t xml:space="preserve">-Rubin diagnostic, which indicated a ratio of between-chain to within-chain variance </w:t>
      </w:r>
      <w:r w:rsidR="00AD5403">
        <w:rPr>
          <w:rFonts w:eastAsiaTheme="minorEastAsia"/>
        </w:rPr>
        <w:t xml:space="preserve">(potential scale reduction factor) </w:t>
      </w:r>
      <w:r>
        <w:rPr>
          <w:rFonts w:eastAsiaTheme="minorEastAsia"/>
        </w:rPr>
        <w:t xml:space="preserve">of less </w:t>
      </w:r>
      <w:r w:rsidR="00054C70">
        <w:rPr>
          <w:rFonts w:eastAsiaTheme="minorEastAsia"/>
        </w:rPr>
        <w:t xml:space="preserve">or equal to </w:t>
      </w:r>
      <w:r>
        <w:rPr>
          <w:rFonts w:eastAsiaTheme="minorEastAsia"/>
        </w:rPr>
        <w:t>1.0</w:t>
      </w:r>
      <w:r w:rsidR="00054C70">
        <w:rPr>
          <w:rFonts w:eastAsiaTheme="minorEastAsia"/>
        </w:rPr>
        <w:t>1</w:t>
      </w:r>
      <w:r>
        <w:rPr>
          <w:rFonts w:eastAsiaTheme="minorEastAsia"/>
        </w:rPr>
        <w:t xml:space="preserve"> for all model parameters</w:t>
      </w:r>
      <w:r w:rsidR="00054C70">
        <w:rPr>
          <w:rFonts w:eastAsiaTheme="minorEastAsia"/>
        </w:rPr>
        <w:t xml:space="preserve"> in the base case and all sensitivity</w:t>
      </w:r>
      <w:r>
        <w:rPr>
          <w:rFonts w:eastAsiaTheme="minorEastAsia"/>
        </w:rPr>
        <w:t>, suggesting that all ten chains were sampling from the same posterior distribution.</w:t>
      </w:r>
    </w:p>
    <w:p w:rsidR="00184951" w:rsidRDefault="005F3E10" w:rsidP="00184951">
      <w:pPr>
        <w:rPr>
          <w:rFonts w:eastAsiaTheme="minorEastAsia"/>
        </w:rPr>
      </w:pPr>
      <w:r>
        <w:rPr>
          <w:rFonts w:eastAsiaTheme="minorEastAsia"/>
        </w:rPr>
        <w:t xml:space="preserve">Full posterior summaries </w:t>
      </w:r>
      <w:r w:rsidR="008C73A1">
        <w:rPr>
          <w:rFonts w:eastAsiaTheme="minorEastAsia"/>
        </w:rPr>
        <w:t xml:space="preserve">are provided in Table </w:t>
      </w:r>
      <w:r w:rsidR="00807297">
        <w:rPr>
          <w:rFonts w:eastAsiaTheme="minorEastAsia"/>
        </w:rPr>
        <w:t>S0</w:t>
      </w:r>
      <w:r w:rsidR="008C73A1">
        <w:rPr>
          <w:rFonts w:eastAsiaTheme="minorEastAsia"/>
        </w:rPr>
        <w:t xml:space="preserve"> for the base case analyses and in Tables S</w:t>
      </w:r>
      <w:r w:rsidR="00807297">
        <w:rPr>
          <w:rFonts w:eastAsiaTheme="minorEastAsia"/>
        </w:rPr>
        <w:t>1</w:t>
      </w:r>
      <w:r w:rsidR="008C73A1">
        <w:rPr>
          <w:rFonts w:eastAsiaTheme="minorEastAsia"/>
        </w:rPr>
        <w:t>-S</w:t>
      </w:r>
      <w:r w:rsidR="00284391">
        <w:rPr>
          <w:rFonts w:eastAsiaTheme="minorEastAsia"/>
        </w:rPr>
        <w:t>6</w:t>
      </w:r>
      <w:r w:rsidR="008C73A1">
        <w:rPr>
          <w:rFonts w:eastAsiaTheme="minorEastAsia"/>
        </w:rPr>
        <w:t xml:space="preserve"> for the sensitivity analyses.</w:t>
      </w:r>
    </w:p>
    <w:p w:rsidR="00AD5403" w:rsidRDefault="00AD540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D5403" w:rsidRDefault="00AD5403" w:rsidP="00184951">
      <w:pPr>
        <w:rPr>
          <w:rFonts w:eastAsiaTheme="minorEastAsia"/>
        </w:rPr>
        <w:sectPr w:rsidR="00AD5403">
          <w:pgSz w:w="12240" w:h="15840"/>
          <w:pgMar w:top="1440" w:right="1440" w:bottom="1440" w:left="1440" w:gutter="0"/>
          <w:docGrid w:linePitch="360"/>
        </w:sectPr>
      </w:pPr>
    </w:p>
    <w:p w:rsidR="00F45C8F" w:rsidRDefault="00AD5403">
      <w:pPr>
        <w:rPr>
          <w:rFonts w:eastAsiaTheme="minorEastAsia"/>
        </w:rPr>
      </w:pPr>
      <w:r>
        <w:rPr>
          <w:rFonts w:eastAsiaTheme="minorEastAsia"/>
        </w:rPr>
        <w:t>Table S0.  Full Markov Chain Monte Carlo Estimation Results: Base Case</w:t>
      </w:r>
    </w:p>
    <w:tbl>
      <w:tblPr>
        <w:tblW w:w="11860" w:type="dxa"/>
        <w:tblInd w:w="93" w:type="dxa"/>
        <w:tblLook w:val="04A0"/>
      </w:tblPr>
      <w:tblGrid>
        <w:gridCol w:w="1075"/>
        <w:gridCol w:w="1075"/>
        <w:gridCol w:w="1072"/>
        <w:gridCol w:w="1042"/>
        <w:gridCol w:w="1042"/>
        <w:gridCol w:w="1086"/>
        <w:gridCol w:w="1086"/>
        <w:gridCol w:w="1086"/>
        <w:gridCol w:w="1077"/>
        <w:gridCol w:w="1077"/>
        <w:gridCol w:w="1142"/>
      </w:tblGrid>
      <w:tr w:rsidR="00F45C8F" w:rsidRPr="00F45C8F">
        <w:trPr>
          <w:trHeight w:val="300"/>
        </w:trPr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Base Case All Studies (n=134)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-7.68460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0.46618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-8.75520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-7.95195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-7.63135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-7.35643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-6.93001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1.11450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0.36305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0.50386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0.86426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1.08071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1.32867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1.92598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99.11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300"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Base Case Prospective studies (n=64)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-12.62000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4.84621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0.02167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0.05518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-24.63000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-15.29000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-11.08000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-8.83167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-7.18860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3.52800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2.53730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0.01135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0.03052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0.19030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1.51000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2.88900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5.16112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9.30826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22.25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300"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Base Case Retrospective Studies (n=70)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-7.56974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0.49201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0.00245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-8.70212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-7.84848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-7.50929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-7.22432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-6.78076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1.14562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0.41092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0.46701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0.86173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1.09951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1.38237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2.07793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80.76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5C8F" w:rsidRDefault="00AD5403" w:rsidP="00F45C8F">
      <w:pPr>
        <w:rPr>
          <w:rFonts w:ascii="Calibri" w:eastAsia="Times New Roman" w:hAnsi="Calibri" w:cs="Times New Roman"/>
          <w:color w:val="000000"/>
        </w:rPr>
      </w:pPr>
      <w:r>
        <w:rPr>
          <w:rFonts w:eastAsiaTheme="minorEastAsia"/>
        </w:rPr>
        <w:t xml:space="preserve">Table S1. Full Markov Chain Monte Carlo Estimation Results: Sensitivity Analysis 1 - </w:t>
      </w:r>
      <w:proofErr w:type="spellStart"/>
      <w:r w:rsidRPr="00AD5403">
        <w:rPr>
          <w:rFonts w:ascii="Calibri" w:eastAsia="Times New Roman" w:hAnsi="Calibri" w:cs="Times New Roman"/>
          <w:color w:val="000000"/>
        </w:rPr>
        <w:t>Recategorizing</w:t>
      </w:r>
      <w:proofErr w:type="spellEnd"/>
      <w:r w:rsidRPr="00AD5403">
        <w:rPr>
          <w:rFonts w:ascii="Calibri" w:eastAsia="Times New Roman" w:hAnsi="Calibri" w:cs="Times New Roman"/>
          <w:color w:val="000000"/>
        </w:rPr>
        <w:t xml:space="preserve"> Seven Non-</w:t>
      </w:r>
      <w:proofErr w:type="spellStart"/>
      <w:r w:rsidRPr="00AD5403">
        <w:rPr>
          <w:rFonts w:ascii="Calibri" w:eastAsia="Times New Roman" w:hAnsi="Calibri" w:cs="Times New Roman"/>
          <w:color w:val="000000"/>
        </w:rPr>
        <w:t>Leiomyosarcomas</w:t>
      </w:r>
      <w:proofErr w:type="spellEnd"/>
    </w:p>
    <w:tbl>
      <w:tblPr>
        <w:tblW w:w="11860" w:type="dxa"/>
        <w:tblInd w:w="93" w:type="dxa"/>
        <w:tblLook w:val="04A0"/>
      </w:tblPr>
      <w:tblGrid>
        <w:gridCol w:w="1074"/>
        <w:gridCol w:w="1074"/>
        <w:gridCol w:w="1072"/>
        <w:gridCol w:w="1029"/>
        <w:gridCol w:w="1030"/>
        <w:gridCol w:w="1087"/>
        <w:gridCol w:w="1087"/>
        <w:gridCol w:w="1087"/>
        <w:gridCol w:w="1087"/>
        <w:gridCol w:w="1087"/>
        <w:gridCol w:w="1146"/>
      </w:tblGrid>
      <w:tr w:rsidR="00F45C8F" w:rsidRPr="00F45C8F">
        <w:trPr>
          <w:trHeight w:val="300"/>
        </w:trPr>
        <w:tc>
          <w:tcPr>
            <w:tcW w:w="5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45C8F">
              <w:rPr>
                <w:rFonts w:ascii="Calibri" w:eastAsia="Times New Roman" w:hAnsi="Calibri" w:cs="Times New Roman"/>
                <w:color w:val="000000"/>
              </w:rPr>
              <w:t>Recategorizing</w:t>
            </w:r>
            <w:proofErr w:type="spellEnd"/>
            <w:r w:rsidRPr="00F45C8F">
              <w:rPr>
                <w:rFonts w:ascii="Calibri" w:eastAsia="Times New Roman" w:hAnsi="Calibri" w:cs="Times New Roman"/>
                <w:color w:val="000000"/>
              </w:rPr>
              <w:t xml:space="preserve"> Seven Non-</w:t>
            </w:r>
            <w:proofErr w:type="spellStart"/>
            <w:r w:rsidRPr="00F45C8F">
              <w:rPr>
                <w:rFonts w:ascii="Calibri" w:eastAsia="Times New Roman" w:hAnsi="Calibri" w:cs="Times New Roman"/>
                <w:color w:val="000000"/>
              </w:rPr>
              <w:t>Leiomyosarcomas</w:t>
            </w:r>
            <w:proofErr w:type="spellEnd"/>
            <w:r w:rsidRPr="00F45C8F">
              <w:rPr>
                <w:rFonts w:ascii="Calibri" w:eastAsia="Times New Roman" w:hAnsi="Calibri" w:cs="Times New Roman"/>
                <w:color w:val="000000"/>
              </w:rPr>
              <w:t xml:space="preserve"> (n=134)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-7.63550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0.47310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0.00212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0.00396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-8.74090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-7.89562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-7.56692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-7.29684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-6.92004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0.88898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0.44242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0.00198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0.00450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0.09794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0.58103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0.86685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1.16460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1.83391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94.64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p w:rsidR="00F45C8F" w:rsidRDefault="00F45C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D5403" w:rsidRDefault="00AD5403" w:rsidP="00F45C8F">
      <w:pPr>
        <w:rPr>
          <w:rFonts w:eastAsiaTheme="minorEastAsia"/>
        </w:rPr>
      </w:pPr>
      <w:r>
        <w:rPr>
          <w:rFonts w:eastAsiaTheme="minorEastAsia"/>
        </w:rPr>
        <w:t>Table S2. Full Markov Chain Monte Carlo Estimation Results: Sensitivity Analysis 2 – Exclude Studies with n&lt;100</w:t>
      </w:r>
    </w:p>
    <w:tbl>
      <w:tblPr>
        <w:tblW w:w="11860" w:type="dxa"/>
        <w:tblInd w:w="93" w:type="dxa"/>
        <w:tblLook w:val="04A0"/>
      </w:tblPr>
      <w:tblGrid>
        <w:gridCol w:w="1074"/>
        <w:gridCol w:w="1074"/>
        <w:gridCol w:w="1072"/>
        <w:gridCol w:w="1025"/>
        <w:gridCol w:w="1042"/>
        <w:gridCol w:w="1087"/>
        <w:gridCol w:w="1088"/>
        <w:gridCol w:w="1088"/>
        <w:gridCol w:w="1088"/>
        <w:gridCol w:w="1079"/>
        <w:gridCol w:w="1143"/>
      </w:tblGrid>
      <w:tr w:rsidR="00F45C8F" w:rsidRPr="00F45C8F">
        <w:trPr>
          <w:trHeight w:val="300"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Studies with N ≥ 100 (Combined; n=57)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-7.60732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0.46934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-8.68421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-7.87391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-7.55121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-7.27908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-6.85129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1.06087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0.38180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0.00189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0.44271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0.79990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1.01563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1.27304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1.93258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78.94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300"/>
        </w:trPr>
        <w:tc>
          <w:tcPr>
            <w:tcW w:w="4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Studies with N ≥ 100 (Prospective; n=13)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-15.22000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5.57010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0.02491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0.02708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-27.93000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-18.64000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-14.35000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-10.83000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-7.39170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5.49600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2.69384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0.01205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0.01367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0.61480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3.29000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5.60000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7.81000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9.78437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10.02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p w:rsidR="00F45C8F" w:rsidRDefault="00F45C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5C8F" w:rsidRDefault="00F45C8F" w:rsidP="00F45C8F">
      <w:pPr>
        <w:rPr>
          <w:rFonts w:eastAsiaTheme="minorEastAsia"/>
        </w:rPr>
      </w:pPr>
      <w:r>
        <w:rPr>
          <w:rFonts w:eastAsiaTheme="minorEastAsia"/>
        </w:rPr>
        <w:t>Table S3. Full Markov Chain Monte Carlo Estimation Results: Sensitivity Analysis 3 – Add One Leiomyosarcoma to the Largest Study with Zero Events</w:t>
      </w:r>
    </w:p>
    <w:tbl>
      <w:tblPr>
        <w:tblW w:w="11863" w:type="dxa"/>
        <w:tblInd w:w="93" w:type="dxa"/>
        <w:tblLook w:val="04A0"/>
      </w:tblPr>
      <w:tblGrid>
        <w:gridCol w:w="1074"/>
        <w:gridCol w:w="1074"/>
        <w:gridCol w:w="1075"/>
        <w:gridCol w:w="1043"/>
        <w:gridCol w:w="1043"/>
        <w:gridCol w:w="1073"/>
        <w:gridCol w:w="1073"/>
        <w:gridCol w:w="1073"/>
        <w:gridCol w:w="1093"/>
        <w:gridCol w:w="1093"/>
        <w:gridCol w:w="1149"/>
      </w:tblGrid>
      <w:tr w:rsidR="00F45C8F" w:rsidRPr="00F45C8F">
        <w:trPr>
          <w:trHeight w:val="300"/>
        </w:trPr>
        <w:tc>
          <w:tcPr>
            <w:tcW w:w="84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Combined;</w:t>
            </w:r>
            <w:r w:rsidRPr="00F45C8F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F45C8F">
              <w:rPr>
                <w:rFonts w:ascii="Calibri" w:eastAsia="Times New Roman" w:hAnsi="Calibri" w:cs="Times New Roman"/>
                <w:color w:val="000000"/>
              </w:rPr>
              <w:t>=134)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-7.52172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0.42138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0.00188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0.00270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-8.46691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-7.76881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-7.47954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-7.22352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-6.82782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0.00042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0.98965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0.34164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0.00153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0.00261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0.38495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0.75929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0.96504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1.19392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1.73851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101.3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tbl>
      <w:tblPr>
        <w:tblW w:w="11862" w:type="dxa"/>
        <w:tblInd w:w="93" w:type="dxa"/>
        <w:tblLook w:val="04A0"/>
      </w:tblPr>
      <w:tblGrid>
        <w:gridCol w:w="1074"/>
        <w:gridCol w:w="1074"/>
        <w:gridCol w:w="1076"/>
        <w:gridCol w:w="1044"/>
        <w:gridCol w:w="1044"/>
        <w:gridCol w:w="1110"/>
        <w:gridCol w:w="1073"/>
        <w:gridCol w:w="1073"/>
        <w:gridCol w:w="1073"/>
        <w:gridCol w:w="1073"/>
        <w:gridCol w:w="1148"/>
      </w:tblGrid>
      <w:tr w:rsidR="00F45C8F" w:rsidRPr="00F45C8F">
        <w:trPr>
          <w:trHeight w:val="300"/>
        </w:trPr>
        <w:tc>
          <w:tcPr>
            <w:tcW w:w="1070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(Prospective; n=64)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-9.04219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2.55645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0.01143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0.03491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-16.74000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-9.58700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-8.25002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-7.50668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-6.66984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1.67692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1.59114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0.00712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0.02186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0.06665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0.60820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1.22481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2.17672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6.38947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24.94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p w:rsidR="00F45C8F" w:rsidRDefault="00F45C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5C8F" w:rsidRDefault="00F45C8F" w:rsidP="00F45C8F">
      <w:pPr>
        <w:rPr>
          <w:rFonts w:eastAsiaTheme="minorEastAsia"/>
        </w:rPr>
      </w:pPr>
      <w:r>
        <w:rPr>
          <w:rFonts w:eastAsiaTheme="minorEastAsia"/>
        </w:rPr>
        <w:t>Table S4. Full Markov Chain Monte Carlo Estimation Results: Sensitivity Analysis 4 – Add One Leiomyosarcoma to the Smallest Study with Zero Events</w:t>
      </w:r>
    </w:p>
    <w:tbl>
      <w:tblPr>
        <w:tblW w:w="11863" w:type="dxa"/>
        <w:tblInd w:w="93" w:type="dxa"/>
        <w:tblLook w:val="04A0"/>
      </w:tblPr>
      <w:tblGrid>
        <w:gridCol w:w="1074"/>
        <w:gridCol w:w="1074"/>
        <w:gridCol w:w="1075"/>
        <w:gridCol w:w="1043"/>
        <w:gridCol w:w="1043"/>
        <w:gridCol w:w="1073"/>
        <w:gridCol w:w="1073"/>
        <w:gridCol w:w="1073"/>
        <w:gridCol w:w="1093"/>
        <w:gridCol w:w="1093"/>
        <w:gridCol w:w="1149"/>
      </w:tblGrid>
      <w:tr w:rsidR="00F45C8F" w:rsidRPr="00F45C8F">
        <w:trPr>
          <w:trHeight w:val="300"/>
        </w:trPr>
        <w:tc>
          <w:tcPr>
            <w:tcW w:w="84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Combined;</w:t>
            </w:r>
            <w:r w:rsidRPr="00F45C8F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F45C8F">
              <w:rPr>
                <w:rFonts w:ascii="Calibri" w:eastAsia="Times New Roman" w:hAnsi="Calibri" w:cs="Times New Roman"/>
                <w:color w:val="000000"/>
              </w:rPr>
              <w:t>=134)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-7.63250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0.47022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0.00273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-8.71249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-7.89497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-7.57526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-7.30462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-6.88308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0.00016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0.00037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1.13278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0.38567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0.00173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0.00233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0.49508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0.86673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1.09122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1.35473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2.01298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110.2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tbl>
      <w:tblPr>
        <w:tblW w:w="11860" w:type="dxa"/>
        <w:tblInd w:w="93" w:type="dxa"/>
        <w:tblLook w:val="04A0"/>
      </w:tblPr>
      <w:tblGrid>
        <w:gridCol w:w="1074"/>
        <w:gridCol w:w="1074"/>
        <w:gridCol w:w="1072"/>
        <w:gridCol w:w="1035"/>
        <w:gridCol w:w="1035"/>
        <w:gridCol w:w="1099"/>
        <w:gridCol w:w="1099"/>
        <w:gridCol w:w="1099"/>
        <w:gridCol w:w="1063"/>
        <w:gridCol w:w="1063"/>
        <w:gridCol w:w="1147"/>
      </w:tblGrid>
      <w:tr w:rsidR="00F45C8F" w:rsidRPr="00F45C8F">
        <w:trPr>
          <w:trHeight w:val="300"/>
        </w:trPr>
        <w:tc>
          <w:tcPr>
            <w:tcW w:w="107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(Prospective; n=64)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-12.45000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4.35985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0.01950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0.04367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-22.63000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-15.18000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-11.40000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-8.89582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-7.02664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0.00013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0.00025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F45C8F" w:rsidRPr="00F45C8F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4.03100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2.54871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0.01140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0.02696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0.26940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1.97500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3.62900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5.82185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9.40576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p w:rsidR="00F45C8F" w:rsidRDefault="00F45C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5C8F" w:rsidRDefault="00F45C8F" w:rsidP="00F45C8F">
      <w:pPr>
        <w:rPr>
          <w:rFonts w:eastAsiaTheme="minorEastAsia"/>
        </w:rPr>
      </w:pPr>
      <w:r>
        <w:rPr>
          <w:rFonts w:eastAsiaTheme="minorEastAsia"/>
        </w:rPr>
        <w:t>Table S5. Full Markov Chain Monte Carlo Estimation Results: Sensitivity Analysis 5 – Reallocate 32 Leiomyosarcomas to Largest Studies (Heterogeneity Test)</w:t>
      </w:r>
    </w:p>
    <w:tbl>
      <w:tblPr>
        <w:tblW w:w="11861" w:type="dxa"/>
        <w:tblInd w:w="93" w:type="dxa"/>
        <w:tblLook w:val="04A0"/>
      </w:tblPr>
      <w:tblGrid>
        <w:gridCol w:w="1075"/>
        <w:gridCol w:w="1074"/>
        <w:gridCol w:w="1078"/>
        <w:gridCol w:w="1046"/>
        <w:gridCol w:w="1046"/>
        <w:gridCol w:w="1075"/>
        <w:gridCol w:w="1075"/>
        <w:gridCol w:w="1075"/>
        <w:gridCol w:w="1075"/>
        <w:gridCol w:w="1093"/>
        <w:gridCol w:w="1149"/>
      </w:tblGrid>
      <w:tr w:rsidR="00F45C8F" w:rsidRPr="00F45C8F">
        <w:trPr>
          <w:trHeight w:val="300"/>
        </w:trPr>
        <w:tc>
          <w:tcPr>
            <w:tcW w:w="9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(Combined </w:t>
            </w:r>
            <w:r w:rsidRPr="00F45C8F">
              <w:rPr>
                <w:rFonts w:ascii="Calibri" w:eastAsia="Times New Roman" w:hAnsi="Calibri" w:cs="Times New Roman"/>
                <w:color w:val="000000"/>
              </w:rPr>
              <w:t>n=134)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-6.89556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0.18542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0.00083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-7.27382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-7.01630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-6.88989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-6.76785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-6.55023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0.00019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0.00069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0.17059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0.13051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0.00058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0.00712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0.06922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0.14267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0.24290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0.48929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85.77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45C8F" w:rsidRDefault="00F45C8F" w:rsidP="00F45C8F">
      <w:pPr>
        <w:rPr>
          <w:rFonts w:eastAsiaTheme="minorEastAsia"/>
        </w:rPr>
      </w:pPr>
    </w:p>
    <w:p w:rsidR="009E1D73" w:rsidRDefault="009E1D7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45C8F" w:rsidRDefault="00F45C8F" w:rsidP="00F45C8F">
      <w:pPr>
        <w:rPr>
          <w:rFonts w:eastAsiaTheme="minorEastAsia"/>
        </w:rPr>
      </w:pPr>
      <w:r>
        <w:rPr>
          <w:rFonts w:eastAsiaTheme="minorEastAsia"/>
        </w:rPr>
        <w:t>Table S6. Full Markov Chain Monte Carlo Estimation Results: Sensitivity Analysis 6 – FDA Dataset</w:t>
      </w:r>
    </w:p>
    <w:tbl>
      <w:tblPr>
        <w:tblW w:w="11860" w:type="dxa"/>
        <w:tblInd w:w="93" w:type="dxa"/>
        <w:tblLook w:val="04A0"/>
      </w:tblPr>
      <w:tblGrid>
        <w:gridCol w:w="1074"/>
        <w:gridCol w:w="1074"/>
        <w:gridCol w:w="1072"/>
        <w:gridCol w:w="1043"/>
        <w:gridCol w:w="1043"/>
        <w:gridCol w:w="1082"/>
        <w:gridCol w:w="1082"/>
        <w:gridCol w:w="1082"/>
        <w:gridCol w:w="1082"/>
        <w:gridCol w:w="1082"/>
        <w:gridCol w:w="1144"/>
      </w:tblGrid>
      <w:tr w:rsidR="00F45C8F" w:rsidRPr="00F45C8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F45C8F">
              <w:rPr>
                <w:rFonts w:ascii="Calibri" w:eastAsia="Times New Roman" w:hAnsi="Calibri" w:cs="Times New Roman"/>
                <w:color w:val="000000"/>
              </w:rPr>
              <w:t>FDA Dataset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; </w:t>
            </w:r>
            <w:r w:rsidRPr="00F45C8F">
              <w:rPr>
                <w:rFonts w:ascii="Calibri" w:eastAsia="Times New Roman" w:hAnsi="Calibri" w:cs="Times New Roman"/>
                <w:color w:val="000000"/>
              </w:rPr>
              <w:t>n=9)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5C8F" w:rsidRPr="00F45C8F">
        <w:trPr>
          <w:trHeight w:val="1200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Mean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Standard Deviation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Naïve Standard Error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Time Series Standard Error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2.5%ile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25%ile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50%ile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75%ile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Posterior 97.5%ile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Potential Scale Reduction Factor</w:t>
            </w:r>
          </w:p>
        </w:tc>
      </w:tr>
      <w:tr w:rsidR="00F45C8F" w:rsidRPr="00F45C8F">
        <w:trPr>
          <w:trHeight w:val="360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μ</w:t>
            </w:r>
            <w:r w:rsidRPr="00F45C8F">
              <w:rPr>
                <w:rFonts w:ascii="Calibri" w:eastAsia="Times New Roman" w:hAnsi="Calibri" w:cs="Times New Roman"/>
                <w:color w:val="000000"/>
                <w:vertAlign w:val="subscript"/>
              </w:rPr>
              <w:t>α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-6.35759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0.39336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-7.25806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-6.56748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-6.31810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-6.10228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-5.70490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p*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0.00074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0.00070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0.00180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0.00332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</w:tr>
      <w:tr w:rsidR="00F45C8F" w:rsidRPr="00F45C8F">
        <w:trPr>
          <w:trHeight w:val="300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σ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0.62959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0.45730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0.00210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0.03502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0.30554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0.54920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0.84731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1.73881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45C8F" w:rsidRPr="00F45C8F">
        <w:trPr>
          <w:trHeight w:val="300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Penalized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deviance: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45C8F">
              <w:rPr>
                <w:rFonts w:ascii="Calibri" w:eastAsia="Times New Roman" w:hAnsi="Calibri" w:cs="Times New Roman"/>
                <w:color w:val="000000"/>
              </w:rPr>
              <w:t>32.7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45C8F" w:rsidRPr="00F45C8F" w:rsidRDefault="00F45C8F" w:rsidP="00F45C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E1D73" w:rsidRDefault="009E1D73" w:rsidP="00F45C8F">
      <w:pPr>
        <w:rPr>
          <w:rFonts w:eastAsiaTheme="minorEastAsia"/>
        </w:rPr>
      </w:pPr>
    </w:p>
    <w:p w:rsidR="009E1D73" w:rsidRDefault="009E1D7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E1D73" w:rsidRDefault="009E1D73" w:rsidP="009E1D73">
      <w:pPr>
        <w:rPr>
          <w:rFonts w:eastAsiaTheme="minorEastAsia"/>
        </w:rPr>
      </w:pPr>
      <w:r>
        <w:rPr>
          <w:rFonts w:eastAsiaTheme="minorEastAsia"/>
        </w:rPr>
        <w:t>Figure S: JAGS Code for Bayesian Binomial-Logit Random Effects Models</w:t>
      </w:r>
    </w:p>
    <w:p w:rsidR="009E1D73" w:rsidRDefault="00143C03" w:rsidP="009E1D73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0;margin-top:0;width:403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">
            <v:textbox style="mso-fit-shape-to-text:t">
              <w:txbxContent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proofErr w:type="gramStart"/>
                  <w:r w:rsidRPr="009E1D73">
                    <w:rPr>
                      <w:rFonts w:ascii="Courier New" w:hAnsi="Courier New" w:cs="Courier New"/>
                    </w:rPr>
                    <w:t>model</w:t>
                  </w:r>
                  <w:proofErr w:type="gramEnd"/>
                  <w:r w:rsidRPr="009E1D73">
                    <w:rPr>
                      <w:rFonts w:ascii="Courier New" w:hAnsi="Courier New" w:cs="Courier New"/>
                    </w:rPr>
                    <w:t>{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 xml:space="preserve">  #Likelihood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9E1D73">
                    <w:rPr>
                      <w:rFonts w:ascii="Courier New" w:hAnsi="Courier New" w:cs="Courier New"/>
                    </w:rPr>
                    <w:t>for</w:t>
                  </w:r>
                  <w:proofErr w:type="gramEnd"/>
                  <w:r w:rsidRPr="009E1D73">
                    <w:rPr>
                      <w:rFonts w:ascii="Courier New" w:hAnsi="Courier New" w:cs="Courier New"/>
                    </w:rPr>
                    <w:t xml:space="preserve"> (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 xml:space="preserve"> in 1:Nstud){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9E1D73">
                    <w:rPr>
                      <w:rFonts w:ascii="Courier New" w:hAnsi="Courier New" w:cs="Courier New"/>
                    </w:rPr>
                    <w:t>r</w:t>
                  </w:r>
                  <w:proofErr w:type="gramEnd"/>
                  <w:r w:rsidRPr="009E1D73">
                    <w:rPr>
                      <w:rFonts w:ascii="Courier New" w:hAnsi="Courier New" w:cs="Courier New"/>
                    </w:rPr>
                    <w:t>[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 xml:space="preserve">] ~ 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dbinom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(p[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],n[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])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E1D73">
                    <w:rPr>
                      <w:rFonts w:ascii="Courier New" w:hAnsi="Courier New" w:cs="Courier New"/>
                    </w:rPr>
                    <w:t>logit</w:t>
                  </w:r>
                  <w:proofErr w:type="spellEnd"/>
                  <w:proofErr w:type="gramEnd"/>
                  <w:r w:rsidRPr="009E1D73">
                    <w:rPr>
                      <w:rFonts w:ascii="Courier New" w:hAnsi="Courier New" w:cs="Courier New"/>
                    </w:rPr>
                    <w:t>(p[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]) &lt;- alpha[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i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]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9E1D73">
                    <w:rPr>
                      <w:rFonts w:ascii="Courier New" w:hAnsi="Courier New" w:cs="Courier New"/>
                    </w:rPr>
                    <w:t>alpha</w:t>
                  </w:r>
                  <w:proofErr w:type="gramEnd"/>
                  <w:r w:rsidRPr="009E1D73">
                    <w:rPr>
                      <w:rFonts w:ascii="Courier New" w:hAnsi="Courier New" w:cs="Courier New"/>
                    </w:rPr>
                    <w:t xml:space="preserve">[i] ~ 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dnorm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mu.alpha,prec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)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  <w:t>}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  <w:t>#Priors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E1D73">
                    <w:rPr>
                      <w:rFonts w:ascii="Courier New" w:hAnsi="Courier New" w:cs="Courier New"/>
                    </w:rPr>
                    <w:t>mu.alpha</w:t>
                  </w:r>
                  <w:proofErr w:type="spellEnd"/>
                  <w:proofErr w:type="gramEnd"/>
                  <w:r w:rsidRPr="009E1D73">
                    <w:rPr>
                      <w:rFonts w:ascii="Courier New" w:hAnsi="Courier New" w:cs="Courier New"/>
                    </w:rPr>
                    <w:t xml:space="preserve"> ~ 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dnorm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(0, 0.00001)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E1D73">
                    <w:rPr>
                      <w:rFonts w:ascii="Courier New" w:hAnsi="Courier New" w:cs="Courier New"/>
                    </w:rPr>
                    <w:t>prec</w:t>
                  </w:r>
                  <w:proofErr w:type="spellEnd"/>
                  <w:proofErr w:type="gramEnd"/>
                  <w:r w:rsidRPr="009E1D73">
                    <w:rPr>
                      <w:rFonts w:ascii="Courier New" w:hAnsi="Courier New" w:cs="Courier New"/>
                    </w:rPr>
                    <w:t xml:space="preserve"> &lt;- 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pow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(sd,-2)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spellStart"/>
                  <w:proofErr w:type="gramStart"/>
                  <w:r w:rsidRPr="009E1D73">
                    <w:rPr>
                      <w:rFonts w:ascii="Courier New" w:hAnsi="Courier New" w:cs="Courier New"/>
                    </w:rPr>
                    <w:t>sd</w:t>
                  </w:r>
                  <w:proofErr w:type="spellEnd"/>
                  <w:proofErr w:type="gramEnd"/>
                  <w:r w:rsidRPr="009E1D73">
                    <w:rPr>
                      <w:rFonts w:ascii="Courier New" w:hAnsi="Courier New" w:cs="Courier New"/>
                    </w:rPr>
                    <w:t xml:space="preserve"> ~ 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dunif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>(</w:t>
                  </w:r>
                  <w:r>
                    <w:rPr>
                      <w:rFonts w:ascii="Courier New" w:hAnsi="Courier New" w:cs="Courier New"/>
                    </w:rPr>
                    <w:t>0</w:t>
                  </w:r>
                  <w:r w:rsidRPr="009E1D73">
                    <w:rPr>
                      <w:rFonts w:ascii="Courier New" w:hAnsi="Courier New" w:cs="Courier New"/>
                    </w:rPr>
                    <w:t>,</w:t>
                  </w:r>
                  <w:r>
                    <w:rPr>
                      <w:rFonts w:ascii="Courier New" w:hAnsi="Courier New" w:cs="Courier New"/>
                    </w:rPr>
                    <w:t>10</w:t>
                  </w:r>
                  <w:r w:rsidRPr="009E1D73">
                    <w:rPr>
                      <w:rFonts w:ascii="Courier New" w:hAnsi="Courier New" w:cs="Courier New"/>
                    </w:rPr>
                    <w:t>)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  <w:t>#Simulation</w:t>
                  </w:r>
                </w:p>
                <w:p w:rsidR="009E1D73" w:rsidRPr="009E1D73" w:rsidRDefault="009E1D73" w:rsidP="009E1D73">
                  <w:pPr>
                    <w:pStyle w:val="NoSpacing"/>
                    <w:rPr>
                      <w:rFonts w:ascii="Courier New" w:hAnsi="Courier New" w:cs="Courier New"/>
                    </w:rPr>
                  </w:pPr>
                  <w:r w:rsidRPr="009E1D73">
                    <w:rPr>
                      <w:rFonts w:ascii="Courier New" w:hAnsi="Courier New" w:cs="Courier New"/>
                    </w:rPr>
                    <w:tab/>
                  </w:r>
                  <w:proofErr w:type="gramStart"/>
                  <w:r w:rsidRPr="009E1D73">
                    <w:rPr>
                      <w:rFonts w:ascii="Courier New" w:hAnsi="Courier New" w:cs="Courier New"/>
                    </w:rPr>
                    <w:t>logit</w:t>
                  </w:r>
                  <w:proofErr w:type="gramEnd"/>
                  <w:r w:rsidRPr="009E1D73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pred.p</w:t>
                  </w:r>
                  <w:proofErr w:type="spellEnd"/>
                  <w:r w:rsidRPr="009E1D73">
                    <w:rPr>
                      <w:rFonts w:ascii="Courier New" w:hAnsi="Courier New" w:cs="Courier New"/>
                    </w:rPr>
                    <w:t xml:space="preserve">) &lt;- </w:t>
                  </w:r>
                  <w:proofErr w:type="spellStart"/>
                  <w:r w:rsidRPr="009E1D73">
                    <w:rPr>
                      <w:rFonts w:ascii="Courier New" w:hAnsi="Courier New" w:cs="Courier New"/>
                    </w:rPr>
                    <w:t>mu.alpha</w:t>
                  </w:r>
                  <w:proofErr w:type="spellEnd"/>
                </w:p>
                <w:p w:rsidR="009E1D73" w:rsidRDefault="009E1D73" w:rsidP="009E1D73">
                  <w:pPr>
                    <w:pStyle w:val="NoSpacing"/>
                  </w:pPr>
                  <w:r w:rsidRPr="009E1D73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</v:shape>
        </w:pict>
      </w:r>
      <w:bookmarkStart w:id="0" w:name="_GoBack"/>
      <w:bookmarkEnd w:id="0"/>
    </w:p>
    <w:sectPr w:rsidR="009E1D73" w:rsidSect="00AD5403">
      <w:pgSz w:w="15840" w:h="12240" w:orient="landscape"/>
      <w:pgMar w:top="810" w:right="1440" w:bottom="99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oNotTrackMoves/>
  <w:defaultTabStop w:val="720"/>
  <w:characterSpacingControl w:val="doNotCompress"/>
  <w:compat/>
  <w:rsids>
    <w:rsidRoot w:val="00184951"/>
    <w:rsid w:val="00054C70"/>
    <w:rsid w:val="000D5A22"/>
    <w:rsid w:val="00143C03"/>
    <w:rsid w:val="00184951"/>
    <w:rsid w:val="00284391"/>
    <w:rsid w:val="00292A9F"/>
    <w:rsid w:val="002C4872"/>
    <w:rsid w:val="004C15F2"/>
    <w:rsid w:val="005C5FD9"/>
    <w:rsid w:val="005F3E10"/>
    <w:rsid w:val="00807297"/>
    <w:rsid w:val="00843DD2"/>
    <w:rsid w:val="008C73A1"/>
    <w:rsid w:val="009E1D73"/>
    <w:rsid w:val="00AD5403"/>
    <w:rsid w:val="00BF64D8"/>
    <w:rsid w:val="00C02E8A"/>
    <w:rsid w:val="00DE565A"/>
    <w:rsid w:val="00EF6A73"/>
    <w:rsid w:val="00F45C8F"/>
  </w:rsids>
  <m:mathPr>
    <m:mathFont m:val="STIXGeneral-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FD9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39"/>
    <w:rsid w:val="00184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4951"/>
    <w:rPr>
      <w:color w:val="808080"/>
    </w:rPr>
  </w:style>
  <w:style w:type="paragraph" w:styleId="NoSpacing">
    <w:name w:val="No Spacing"/>
    <w:uiPriority w:val="1"/>
    <w:qFormat/>
    <w:rsid w:val="009E1D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4951"/>
    <w:rPr>
      <w:color w:val="808080"/>
    </w:rPr>
  </w:style>
  <w:style w:type="paragraph" w:styleId="NoSpacing">
    <w:name w:val="No Spacing"/>
    <w:uiPriority w:val="1"/>
    <w:qFormat/>
    <w:rsid w:val="009E1D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1651</Words>
  <Characters>9415</Characters>
  <Application>Microsoft Macintosh Word</Application>
  <DocSecurity>0</DocSecurity>
  <Lines>78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Olive</cp:lastModifiedBy>
  <cp:revision>2</cp:revision>
  <dcterms:created xsi:type="dcterms:W3CDTF">2015-01-11T21:35:00Z</dcterms:created>
  <dcterms:modified xsi:type="dcterms:W3CDTF">2015-01-11T21:35:00Z</dcterms:modified>
</cp:coreProperties>
</file>