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277B1CF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w:t>
      </w:r>
      <w:r w:rsidR="0008631E">
        <w:t xml:space="preserve">As a practical matter, this encourages individuals to show alternative credentials on their resume, which could spur adoption. </w:t>
      </w:r>
      <w:r w:rsidR="00C30513">
        <w:t>The fact that employers and the unemployed both favor alternative educat</w:t>
      </w:r>
      <w:r w:rsidR="00222C15">
        <w:t>ion indicates that the less favorable labor group is the currently employed.</w:t>
      </w:r>
    </w:p>
    <w:p w14:paraId="7347494A" w14:textId="7F421E17" w:rsidR="00222C15" w:rsidRDefault="00222C15" w:rsidP="004F3337">
      <w:r>
        <w:t>STEM workers are more favorable of alternative education. Those who do not work in STEM or who do not know whether they work in a STEM field are less favorable. This effect exists after including industry effects.</w:t>
      </w:r>
      <w:r w:rsidR="00B469D6">
        <w:t xml:space="preserve"> This was an unexpected result because</w:t>
      </w:r>
      <w:r w:rsidR="003C3642">
        <w:t xml:space="preserve"> STEM is generally thought of as an industry </w:t>
      </w:r>
      <w:r w:rsidR="003C3642">
        <w:lastRenderedPageBreak/>
        <w:t>characteristic, which means it should be fully included in industry effects. Two other reasons STEM effects were not expected is because STEM designation varies by jurisdiction</w:t>
      </w:r>
      <w:r w:rsidR="008617F4">
        <w:rPr>
          <w:rStyle w:val="FootnoteReference"/>
        </w:rPr>
        <w:footnoteReference w:id="6"/>
      </w:r>
      <w:r w:rsidR="008617F4">
        <w:t xml:space="preserve">, and because all </w:t>
      </w:r>
      <w:r w:rsidR="00E35BEF">
        <w:t>professions</w:t>
      </w:r>
      <w:r w:rsidR="008617F4">
        <w:t xml:space="preserve"> </w:t>
      </w:r>
      <w:r w:rsidR="00E35BEF">
        <w:t>leverage technology</w:t>
      </w:r>
      <w:r w:rsidR="003C3642">
        <w:t>.</w:t>
      </w:r>
      <w:r w:rsidR="008617F4">
        <w:t xml:space="preserve"> Art professions are taken as an antithesis of STEM, but artists frequ</w:t>
      </w:r>
      <w:r w:rsidR="00A00C6F">
        <w:t>ently utilize technology today.</w:t>
      </w:r>
    </w:p>
    <w:p w14:paraId="0456F3BA" w14:textId="5216D4F5" w:rsidR="001D67A8" w:rsidRDefault="00E35BEF" w:rsidP="00254BAD">
      <w:r>
        <w:t xml:space="preserve">Rather than devolving into meaninglessness, it seems the STEM variable is capturing an important distinction. </w:t>
      </w:r>
      <w:r w:rsidR="00A3122A">
        <w:t xml:space="preserve">On reflection, there are some possible intuitions for this. </w:t>
      </w:r>
      <w:r>
        <w:t>Some artists work in</w:t>
      </w:r>
      <w:r w:rsidR="00A00C6F">
        <w:t xml:space="preserve"> or with relatively advanced</w:t>
      </w:r>
      <w:r>
        <w:t xml:space="preserve"> technology and some don’t. </w:t>
      </w:r>
      <w:r w:rsidR="00A00C6F">
        <w:t>Some are particularly old-fashioned. Those professionals who work</w:t>
      </w:r>
      <w:r w:rsidR="00A3122A">
        <w:t xml:space="preserve"> in or with advanced technology will tend to favor online learning. In this way, the STEM designation functions as a secondary pro-innovation bias factor.</w:t>
      </w:r>
    </w:p>
    <w:p w14:paraId="7AB7B48F" w14:textId="378C75AB" w:rsidR="006F28C5" w:rsidRPr="003A339B" w:rsidRDefault="0007186A" w:rsidP="001D67A8">
      <w:pPr>
        <w:rPr>
          <w:b/>
        </w:rPr>
      </w:pPr>
      <w:r>
        <w:rPr>
          <w:b/>
        </w:rPr>
        <w:t>III. Provider Data Study</w:t>
      </w:r>
    </w:p>
    <w:p w14:paraId="459B43A1" w14:textId="64A6D4A3" w:rsidR="00597548" w:rsidRDefault="00597548" w:rsidP="006F28C5">
      <w:r>
        <w:t>[From here forward the article is in a pre-draft state, like rough notes]</w:t>
      </w:r>
    </w:p>
    <w:p w14:paraId="7496BF91" w14:textId="134127A9" w:rsidR="006F28C5" w:rsidRDefault="00A3122A" w:rsidP="006F28C5">
      <w:r>
        <w:t>Scraping Udacity so far has weakly indicated no significant difference in the employment rate (not unemployment rate) of those with a Udacity account vs the ordinary public. This may hide an employment benefit because pre-employable age individuals can obtain a Udacity account.</w:t>
      </w:r>
    </w:p>
    <w:p w14:paraId="7AB2C0FD" w14:textId="5F9C8903" w:rsidR="00597548" w:rsidRDefault="00597548" w:rsidP="006F28C5">
      <w:r>
        <w:t>I need to scraped LinkedIn and other places.</w:t>
      </w:r>
    </w:p>
    <w:p w14:paraId="651E3868" w14:textId="77777777" w:rsidR="00A3122A" w:rsidRDefault="00A3122A" w:rsidP="00A3122A">
      <w:r>
        <w:t>-Statistics from Provider Marketing Materials</w:t>
      </w:r>
    </w:p>
    <w:p w14:paraId="5366EBCF" w14:textId="77777777" w:rsidR="00A3122A" w:rsidRDefault="00A3122A" w:rsidP="00A3122A">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2E7151F8" w14:textId="77777777" w:rsidR="00A3122A" w:rsidRDefault="00A3122A" w:rsidP="00A3122A">
      <w:r>
        <w:t>-linkedIn gets you more recruiter views or something</w:t>
      </w:r>
    </w:p>
    <w:p w14:paraId="4C6274E7" w14:textId="77777777" w:rsidR="00A3122A" w:rsidRDefault="00A3122A" w:rsidP="00A3122A">
      <w:r>
        <w:t>-degreed claims (data or no) to increase retention</w:t>
      </w:r>
    </w:p>
    <w:p w14:paraId="782BABA4" w14:textId="77777777" w:rsidR="00A3122A" w:rsidRDefault="00A3122A" w:rsidP="00A3122A">
      <w:r>
        <w:t>-Degreed says points don’t matter and PluralSight says don’t use Skill IQ for employment decisions…but are they being too modest??</w:t>
      </w:r>
    </w:p>
    <w:p w14:paraId="3E6497BB" w14:textId="77777777" w:rsidR="00A3122A" w:rsidRDefault="00A3122A" w:rsidP="00A3122A">
      <w:r>
        <w:t>Can a cost-benefit analysis be generated based on these marketing data? What about other providers with somewhat substitutable systems? Can we say “Firms should be using these platforms” and proceed to “firms should have X data [because it comes with the platforms]”</w:t>
      </w:r>
    </w:p>
    <w:p w14:paraId="68A31D68" w14:textId="77777777" w:rsidR="00A3122A" w:rsidRDefault="00A3122A" w:rsidP="006F28C5"/>
    <w:p w14:paraId="79FB1F62" w14:textId="31EFE372" w:rsidR="00A3122A" w:rsidRDefault="00A3122A" w:rsidP="006F28C5"/>
    <w:p w14:paraId="5AF5552B" w14:textId="77777777" w:rsidR="00A3122A" w:rsidRDefault="00A3122A"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7A22865F" w:rsidR="006F28C5" w:rsidRDefault="00BD3767" w:rsidP="00BD3767">
      <w:pPr>
        <w:pStyle w:val="ListParagraph"/>
        <w:numPr>
          <w:ilvl w:val="0"/>
          <w:numId w:val="10"/>
        </w:numPr>
      </w:pPr>
      <w:r>
        <w:t>Employers can proactively hire from eLearning providers like Udacity</w:t>
      </w:r>
    </w:p>
    <w:p w14:paraId="1989F13C" w14:textId="18FE609C" w:rsidR="006578DE" w:rsidRDefault="006578DE" w:rsidP="006578DE">
      <w:pPr>
        <w:pStyle w:val="ListParagraph"/>
        <w:numPr>
          <w:ilvl w:val="1"/>
          <w:numId w:val="10"/>
        </w:numPr>
      </w:pPr>
      <w:r w:rsidRPr="006578DE">
        <w:t>https://www.udacity.com/hire-talent</w:t>
      </w:r>
    </w:p>
    <w:p w14:paraId="71CD1005" w14:textId="21F2A360" w:rsidR="006578DE" w:rsidRDefault="003E7C8E" w:rsidP="003E7C8E">
      <w:pPr>
        <w:pStyle w:val="ListParagraph"/>
        <w:numPr>
          <w:ilvl w:val="1"/>
          <w:numId w:val="10"/>
        </w:numPr>
      </w:pPr>
      <w:r w:rsidRPr="003E7C8E">
        <w:t>https://blog.udacity.com/2016/04/how-your-new-udacity-profile-can-get-you-a-job.html</w:t>
      </w:r>
    </w:p>
    <w:p w14:paraId="281960BE" w14:textId="41722967" w:rsidR="00BD3767" w:rsidRDefault="00BD3767" w:rsidP="00BD3767">
      <w:pPr>
        <w:pStyle w:val="ListParagraph"/>
        <w:numPr>
          <w:ilvl w:val="0"/>
          <w:numId w:val="10"/>
        </w:numPr>
      </w:pPr>
      <w:r>
        <w:t>Employers can sometimes integrate or replace their internal LMS or HR systems with e-learning providers.</w:t>
      </w:r>
    </w:p>
    <w:p w14:paraId="53AB19CD" w14:textId="5E294A9F" w:rsidR="009D4B55" w:rsidRDefault="009D4B55" w:rsidP="00BD3767">
      <w:pPr>
        <w:pStyle w:val="ListParagraph"/>
        <w:numPr>
          <w:ilvl w:val="0"/>
          <w:numId w:val="10"/>
        </w:numPr>
      </w:pPr>
      <w:r>
        <w:t>Employers can recommend completion of elearning courses or attainment of alternative credentials during performance reviews (or at any time)</w:t>
      </w:r>
    </w:p>
    <w:p w14:paraId="7120AA7F" w14:textId="40D9797B" w:rsidR="009D4B55" w:rsidRDefault="009D4B55" w:rsidP="009D4B55">
      <w:pPr>
        <w:pStyle w:val="ListParagraph"/>
        <w:numPr>
          <w:ilvl w:val="1"/>
          <w:numId w:val="10"/>
        </w:numPr>
      </w:pPr>
      <w:r>
        <w:t>Career growth and no ability to improve skills is a key reason employees leave</w:t>
      </w:r>
    </w:p>
    <w:p w14:paraId="721636ED" w14:textId="6CD914CB" w:rsidR="009D4B55" w:rsidRDefault="006578DE" w:rsidP="009D4B55">
      <w:pPr>
        <w:pStyle w:val="ListParagraph"/>
        <w:numPr>
          <w:ilvl w:val="0"/>
          <w:numId w:val="10"/>
        </w:numPr>
      </w:pPr>
      <w:r>
        <w:t>Policymakes and G scales, etc, can move toward skill and evidence-based meritocracy instead of years of experience</w:t>
      </w:r>
      <w:r w:rsidR="005C2AF0">
        <w:t>. They can stop requiring degrees.</w:t>
      </w:r>
    </w:p>
    <w:p w14:paraId="5EFF9679" w14:textId="42AF69B2" w:rsidR="00781CD6" w:rsidRDefault="00D6684B" w:rsidP="009D4B55">
      <w:pPr>
        <w:pStyle w:val="ListParagraph"/>
        <w:numPr>
          <w:ilvl w:val="0"/>
          <w:numId w:val="10"/>
        </w:numPr>
      </w:pPr>
      <w:r>
        <w:t>Employees should place elearning on their resume(?)</w:t>
      </w:r>
    </w:p>
    <w:p w14:paraId="5E76B35E" w14:textId="1925F7EA" w:rsidR="00D6684B" w:rsidRDefault="00D6684B" w:rsidP="009D4B55">
      <w:pPr>
        <w:pStyle w:val="ListParagraph"/>
        <w:numPr>
          <w:ilvl w:val="0"/>
          <w:numId w:val="10"/>
        </w:numPr>
      </w:pPr>
      <w:r>
        <w:t>Individuals are better off with a Nanodegree than simple courses + portfolio(?)</w:t>
      </w:r>
    </w:p>
    <w:p w14:paraId="60A485A0" w14:textId="293C3D20" w:rsidR="003B5D1B" w:rsidRPr="00EC7B78" w:rsidRDefault="003B5D1B" w:rsidP="009D4B55">
      <w:pPr>
        <w:pStyle w:val="ListParagraph"/>
        <w:numPr>
          <w:ilvl w:val="0"/>
          <w:numId w:val="10"/>
        </w:numPr>
      </w:pPr>
      <w:r>
        <w:t>Employers can have higher quality (?)and lower cost (?)employees by leveraging alternative credentials</w:t>
      </w:r>
      <w:bookmarkStart w:id="0" w:name="_GoBack"/>
      <w:bookmarkEnd w:id="0"/>
    </w:p>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7"/>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It will soon become fairly conventional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r>
        <w:t>Unformated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Also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r>
        <w:t>caplan’s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and also failure to </w:t>
      </w:r>
      <w:r w:rsidR="00E13536">
        <w:t>disaggregate</w:t>
      </w:r>
      <w:r>
        <w:t xml:space="preserve"> and look at edge cases: even caplan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E7ED" w14:textId="77777777" w:rsidR="00A63F31" w:rsidRDefault="00A63F31" w:rsidP="00894826">
      <w:pPr>
        <w:spacing w:after="0" w:line="240" w:lineRule="auto"/>
      </w:pPr>
      <w:r>
        <w:separator/>
      </w:r>
    </w:p>
  </w:endnote>
  <w:endnote w:type="continuationSeparator" w:id="0">
    <w:p w14:paraId="5E8B1944" w14:textId="77777777" w:rsidR="00A63F31" w:rsidRDefault="00A63F31"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C517E" w14:textId="77777777" w:rsidR="00A63F31" w:rsidRDefault="00A63F31" w:rsidP="00894826">
      <w:pPr>
        <w:spacing w:after="0" w:line="240" w:lineRule="auto"/>
      </w:pPr>
      <w:r>
        <w:separator/>
      </w:r>
    </w:p>
  </w:footnote>
  <w:footnote w:type="continuationSeparator" w:id="0">
    <w:p w14:paraId="7649DED7" w14:textId="77777777" w:rsidR="00A63F31" w:rsidRDefault="00A63F31"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581D4C3B" w14:textId="48D50E61" w:rsidR="008617F4" w:rsidRDefault="008617F4">
      <w:pPr>
        <w:pStyle w:val="FootnoteText"/>
      </w:pPr>
      <w:r>
        <w:rPr>
          <w:rStyle w:val="FootnoteReference"/>
        </w:rPr>
        <w:footnoteRef/>
      </w:r>
      <w:r>
        <w:t xml:space="preserve"> </w:t>
      </w:r>
      <w:hyperlink r:id="rId6" w:history="1">
        <w:r w:rsidRPr="00511D67">
          <w:rPr>
            <w:rStyle w:val="Hyperlink"/>
          </w:rPr>
          <w:t>https://stateimpact.npr.org/florida/2013/03/19/why-florida-colleges-include-nursing-as-a-stem-job/</w:t>
        </w:r>
      </w:hyperlink>
    </w:p>
  </w:footnote>
  <w:footnote w:id="7">
    <w:p w14:paraId="7366BA7B" w14:textId="208671C3" w:rsidR="000C6F08" w:rsidRDefault="000C6F08">
      <w:pPr>
        <w:pStyle w:val="FootnoteText"/>
      </w:pPr>
      <w:r>
        <w:rPr>
          <w:rStyle w:val="FootnoteReference"/>
        </w:rPr>
        <w:footnoteRef/>
      </w:r>
      <w:r>
        <w:t xml:space="preserve"> Raw results at: </w:t>
      </w:r>
      <w:hyperlink r:id="rId7"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809"/>
    <w:multiLevelType w:val="hybridMultilevel"/>
    <w:tmpl w:val="6C92B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8631E"/>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D67A8"/>
    <w:rsid w:val="001E7CC0"/>
    <w:rsid w:val="001F4B42"/>
    <w:rsid w:val="001F6259"/>
    <w:rsid w:val="00222C15"/>
    <w:rsid w:val="00234AE9"/>
    <w:rsid w:val="00243682"/>
    <w:rsid w:val="00254BAD"/>
    <w:rsid w:val="0028248E"/>
    <w:rsid w:val="002954E5"/>
    <w:rsid w:val="002B00F5"/>
    <w:rsid w:val="002B2001"/>
    <w:rsid w:val="002B569C"/>
    <w:rsid w:val="002C7B7F"/>
    <w:rsid w:val="002F6A51"/>
    <w:rsid w:val="00302493"/>
    <w:rsid w:val="0032536E"/>
    <w:rsid w:val="00341F59"/>
    <w:rsid w:val="00355621"/>
    <w:rsid w:val="003A339B"/>
    <w:rsid w:val="003A672F"/>
    <w:rsid w:val="003B5D1B"/>
    <w:rsid w:val="003B7102"/>
    <w:rsid w:val="003C3642"/>
    <w:rsid w:val="003E1962"/>
    <w:rsid w:val="003E60AE"/>
    <w:rsid w:val="003E7C8E"/>
    <w:rsid w:val="003F5088"/>
    <w:rsid w:val="00400FD8"/>
    <w:rsid w:val="00403ADF"/>
    <w:rsid w:val="00427DEC"/>
    <w:rsid w:val="00464CBF"/>
    <w:rsid w:val="00487696"/>
    <w:rsid w:val="00496639"/>
    <w:rsid w:val="004D0F15"/>
    <w:rsid w:val="004E5B5F"/>
    <w:rsid w:val="004F2AB7"/>
    <w:rsid w:val="004F3337"/>
    <w:rsid w:val="005018BE"/>
    <w:rsid w:val="00583F26"/>
    <w:rsid w:val="0059109F"/>
    <w:rsid w:val="00593ADC"/>
    <w:rsid w:val="00597548"/>
    <w:rsid w:val="005C2AF0"/>
    <w:rsid w:val="005C47AE"/>
    <w:rsid w:val="005C79F7"/>
    <w:rsid w:val="005E6B90"/>
    <w:rsid w:val="005F2223"/>
    <w:rsid w:val="00631A3A"/>
    <w:rsid w:val="006338A0"/>
    <w:rsid w:val="00647B01"/>
    <w:rsid w:val="006578DE"/>
    <w:rsid w:val="00666CAE"/>
    <w:rsid w:val="00673E9B"/>
    <w:rsid w:val="00686B7C"/>
    <w:rsid w:val="00690532"/>
    <w:rsid w:val="006E1431"/>
    <w:rsid w:val="006E2F8C"/>
    <w:rsid w:val="006E49E6"/>
    <w:rsid w:val="006F28C5"/>
    <w:rsid w:val="00756616"/>
    <w:rsid w:val="00767B33"/>
    <w:rsid w:val="00771757"/>
    <w:rsid w:val="00774831"/>
    <w:rsid w:val="00774C33"/>
    <w:rsid w:val="00781CD6"/>
    <w:rsid w:val="00793071"/>
    <w:rsid w:val="007B6FC8"/>
    <w:rsid w:val="007D0775"/>
    <w:rsid w:val="007F4EDE"/>
    <w:rsid w:val="007F67E0"/>
    <w:rsid w:val="008043E6"/>
    <w:rsid w:val="00813A5A"/>
    <w:rsid w:val="00842821"/>
    <w:rsid w:val="00842C32"/>
    <w:rsid w:val="008459D0"/>
    <w:rsid w:val="008617F4"/>
    <w:rsid w:val="0089022B"/>
    <w:rsid w:val="00894826"/>
    <w:rsid w:val="00896BDF"/>
    <w:rsid w:val="008A6BFD"/>
    <w:rsid w:val="008E166E"/>
    <w:rsid w:val="008E4D2A"/>
    <w:rsid w:val="00942069"/>
    <w:rsid w:val="00951B6D"/>
    <w:rsid w:val="009632C5"/>
    <w:rsid w:val="00973B59"/>
    <w:rsid w:val="00973C41"/>
    <w:rsid w:val="009A3FB6"/>
    <w:rsid w:val="009C3BC8"/>
    <w:rsid w:val="009D1CEF"/>
    <w:rsid w:val="009D4B55"/>
    <w:rsid w:val="009E49EC"/>
    <w:rsid w:val="00A00C6F"/>
    <w:rsid w:val="00A24265"/>
    <w:rsid w:val="00A263EE"/>
    <w:rsid w:val="00A2709C"/>
    <w:rsid w:val="00A3122A"/>
    <w:rsid w:val="00A63F31"/>
    <w:rsid w:val="00AA632D"/>
    <w:rsid w:val="00AD47ED"/>
    <w:rsid w:val="00AD691B"/>
    <w:rsid w:val="00AE09DC"/>
    <w:rsid w:val="00AE3B1F"/>
    <w:rsid w:val="00B00EEB"/>
    <w:rsid w:val="00B17D03"/>
    <w:rsid w:val="00B21DA2"/>
    <w:rsid w:val="00B361F1"/>
    <w:rsid w:val="00B469D6"/>
    <w:rsid w:val="00B5659A"/>
    <w:rsid w:val="00B6052F"/>
    <w:rsid w:val="00B67DF6"/>
    <w:rsid w:val="00B93C2D"/>
    <w:rsid w:val="00BA7765"/>
    <w:rsid w:val="00BD3767"/>
    <w:rsid w:val="00BE47A8"/>
    <w:rsid w:val="00C04CB7"/>
    <w:rsid w:val="00C07F9E"/>
    <w:rsid w:val="00C1298E"/>
    <w:rsid w:val="00C252BA"/>
    <w:rsid w:val="00C30513"/>
    <w:rsid w:val="00C37574"/>
    <w:rsid w:val="00C40B09"/>
    <w:rsid w:val="00C45E6F"/>
    <w:rsid w:val="00C53160"/>
    <w:rsid w:val="00C64F02"/>
    <w:rsid w:val="00C74D82"/>
    <w:rsid w:val="00CA667A"/>
    <w:rsid w:val="00CB2404"/>
    <w:rsid w:val="00CB29EB"/>
    <w:rsid w:val="00CF4809"/>
    <w:rsid w:val="00D1147C"/>
    <w:rsid w:val="00D27E51"/>
    <w:rsid w:val="00D365BE"/>
    <w:rsid w:val="00D36C91"/>
    <w:rsid w:val="00D43C14"/>
    <w:rsid w:val="00D53DD3"/>
    <w:rsid w:val="00D65B2B"/>
    <w:rsid w:val="00D6684B"/>
    <w:rsid w:val="00D741F0"/>
    <w:rsid w:val="00D90293"/>
    <w:rsid w:val="00D97AFA"/>
    <w:rsid w:val="00E034BF"/>
    <w:rsid w:val="00E13536"/>
    <w:rsid w:val="00E1467F"/>
    <w:rsid w:val="00E35BE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7" Type="http://schemas.openxmlformats.org/officeDocument/2006/relationships/hyperlink" Target="https://www.surveymonkey.com/results/SM-FBQL8F5H8/"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stateimpact.npr.org/florida/2013/03/19/why-florida-colleges-include-nursing-as-a-stem-job/"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99B69-E154-454F-B78E-24F40115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9</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170</cp:revision>
  <dcterms:created xsi:type="dcterms:W3CDTF">2018-03-18T20:35:00Z</dcterms:created>
  <dcterms:modified xsi:type="dcterms:W3CDTF">2018-04-10T12:13:00Z</dcterms:modified>
</cp:coreProperties>
</file>