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7C35C528" w:rsidR="0007186A" w:rsidRDefault="0028248E" w:rsidP="0007186A">
      <w:r>
        <w:t xml:space="preserve">II.I </w:t>
      </w:r>
      <w:r w:rsidR="009632C5">
        <w:t xml:space="preserve">Attitudinal </w:t>
      </w:r>
      <w:r>
        <w:t>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50AF964A" w:rsidR="004F3337" w:rsidRDefault="004F3337" w:rsidP="004F3337">
      <w:r>
        <w:t xml:space="preserve">Exploratory strategy involved a </w:t>
      </w:r>
      <w:r w:rsidR="00372082">
        <w:t>standard reduction pattern</w:t>
      </w:r>
      <w:r>
        <w:t xml:space="preserve"> for 4 sessions, and an ad-hoc session investigating structural intuitions and curiosities. The </w:t>
      </w:r>
      <w:r w:rsidR="00372082">
        <w:t>standard reduction pattern</w:t>
      </w:r>
      <w:r>
        <w:t xml:space="preserv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bookmarkStart w:id="0" w:name="_GoBack"/>
      <w:bookmarkEnd w:id="0"/>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66ED22A4" w:rsidR="00BE47A8" w:rsidRDefault="004F3337" w:rsidP="004F3337">
      <w:r>
        <w:t xml:space="preserve">During the </w:t>
      </w:r>
      <w:r w:rsidR="00372082">
        <w:t>standard reduction pattern</w:t>
      </w:r>
      <w:r>
        <w:t>, the highest p-value factors are dropped 1-by-1 by un</w:t>
      </w:r>
      <w:r w:rsidR="00BE47A8">
        <w:t xml:space="preserve">til the next model is obtained. Factors appearing in any weak model were noted for further exploration. Following the </w:t>
      </w:r>
      <w:r w:rsidR="00DF2E9C">
        <w:t>standard</w:t>
      </w:r>
      <w:r w:rsidR="00BE47A8">
        <w:t xml:space="preserve">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2A4561D6" w14:textId="16EB9B24" w:rsidR="00CF4809" w:rsidRDefault="00CF4809" w:rsidP="004F3337">
      <w:r>
        <w:lastRenderedPageBreak/>
        <w:t>II.II Attitudinal Study Results</w:t>
      </w:r>
    </w:p>
    <w:p w14:paraId="691A819D" w14:textId="2AC38801" w:rsidR="00302493" w:rsidRDefault="00756616" w:rsidP="004F3337">
      <w:r>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p>
    <w:p w14:paraId="1DF50F12" w14:textId="72FF0E39" w:rsidR="00756616"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F143D0F" w14:textId="7F2F6439" w:rsidR="00BE47A8" w:rsidRDefault="00D27E51" w:rsidP="004F3337">
      <w:r>
        <w:t>Factors which were significant in any model are reported in Table 2. R</w:t>
      </w:r>
      <w:r w:rsidR="00BE47A8">
        <w:t xml:space="preserve">obustness checks were carried out to identify points of strength and importance within the weak factor set, </w:t>
      </w:r>
      <w:r w:rsidR="006338A0">
        <w:t>and to identify super-strong factors within the strong factor set</w:t>
      </w:r>
      <w:r w:rsidR="00BE47A8">
        <w:t xml:space="preserve">. A concept of vertical and horizontal robustness is introduced, where vertical robustness refers to </w:t>
      </w:r>
      <w:r w:rsidR="008459D0">
        <w:t>significant</w:t>
      </w:r>
      <w:r w:rsidR="00BE47A8">
        <w:t xml:space="preserve"> factors identified </w:t>
      </w:r>
      <w:r w:rsidR="007F67E0">
        <w:t>through regular p-value analysis</w:t>
      </w:r>
      <w:r w:rsidR="00BE47A8">
        <w:t>.</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502E3EE" w14:textId="1480E1BB" w:rsidR="00234AE9" w:rsidRDefault="00842821" w:rsidP="004F3337">
      <w:pPr>
        <w:rPr>
          <w:b/>
        </w:rPr>
      </w:pPr>
      <w:r>
        <w:rPr>
          <w:b/>
        </w:rPr>
        <w:lastRenderedPageBreak/>
        <w:t>Table 2 – Significant Factors</w:t>
      </w:r>
    </w:p>
    <w:tbl>
      <w:tblPr>
        <w:tblW w:w="64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00"/>
        <w:gridCol w:w="1655"/>
        <w:gridCol w:w="1890"/>
        <w:gridCol w:w="1530"/>
      </w:tblGrid>
      <w:tr w:rsidR="00B17D03" w:rsidRPr="00B17D03" w14:paraId="0957BFAA" w14:textId="77777777" w:rsidTr="00B17D03">
        <w:trPr>
          <w:trHeight w:val="300"/>
        </w:trPr>
        <w:tc>
          <w:tcPr>
            <w:tcW w:w="1400" w:type="dxa"/>
            <w:shd w:val="clear" w:color="auto" w:fill="auto"/>
            <w:noWrap/>
            <w:vAlign w:val="bottom"/>
            <w:hideMark/>
          </w:tcPr>
          <w:p w14:paraId="4A1B270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Factor Name</w:t>
            </w:r>
          </w:p>
        </w:tc>
        <w:tc>
          <w:tcPr>
            <w:tcW w:w="1655" w:type="dxa"/>
            <w:shd w:val="clear" w:color="auto" w:fill="auto"/>
            <w:noWrap/>
            <w:vAlign w:val="bottom"/>
            <w:hideMark/>
          </w:tcPr>
          <w:p w14:paraId="0EB60E91"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Significance (p)</w:t>
            </w:r>
          </w:p>
        </w:tc>
        <w:tc>
          <w:tcPr>
            <w:tcW w:w="1890" w:type="dxa"/>
            <w:shd w:val="clear" w:color="auto" w:fill="auto"/>
            <w:noWrap/>
            <w:vAlign w:val="bottom"/>
            <w:hideMark/>
          </w:tcPr>
          <w:p w14:paraId="79599947"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Strong Model</w:t>
            </w:r>
          </w:p>
        </w:tc>
        <w:tc>
          <w:tcPr>
            <w:tcW w:w="1530" w:type="dxa"/>
            <w:shd w:val="clear" w:color="auto" w:fill="auto"/>
            <w:noWrap/>
            <w:vAlign w:val="bottom"/>
            <w:hideMark/>
          </w:tcPr>
          <w:p w14:paraId="7D5A395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Vertical Effect</w:t>
            </w:r>
          </w:p>
        </w:tc>
      </w:tr>
      <w:tr w:rsidR="00B17D03" w:rsidRPr="00B17D03" w14:paraId="76756149" w14:textId="77777777" w:rsidTr="00B17D03">
        <w:trPr>
          <w:trHeight w:val="300"/>
        </w:trPr>
        <w:tc>
          <w:tcPr>
            <w:tcW w:w="1400" w:type="dxa"/>
            <w:shd w:val="clear" w:color="auto" w:fill="auto"/>
            <w:noWrap/>
            <w:vAlign w:val="bottom"/>
            <w:hideMark/>
          </w:tcPr>
          <w:p w14:paraId="0660A19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w:t>
            </w:r>
          </w:p>
        </w:tc>
        <w:tc>
          <w:tcPr>
            <w:tcW w:w="1655" w:type="dxa"/>
            <w:shd w:val="clear" w:color="auto" w:fill="auto"/>
            <w:noWrap/>
            <w:vAlign w:val="bottom"/>
            <w:hideMark/>
          </w:tcPr>
          <w:p w14:paraId="4425017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0.026</w:t>
            </w:r>
          </w:p>
        </w:tc>
        <w:tc>
          <w:tcPr>
            <w:tcW w:w="1890" w:type="dxa"/>
            <w:shd w:val="clear" w:color="auto" w:fill="auto"/>
            <w:noWrap/>
            <w:vAlign w:val="bottom"/>
            <w:hideMark/>
          </w:tcPr>
          <w:p w14:paraId="5AB60E9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d1istrong</w:t>
            </w:r>
          </w:p>
        </w:tc>
        <w:tc>
          <w:tcPr>
            <w:tcW w:w="1530" w:type="dxa"/>
            <w:shd w:val="clear" w:color="auto" w:fill="auto"/>
            <w:noWrap/>
            <w:vAlign w:val="bottom"/>
            <w:hideMark/>
          </w:tcPr>
          <w:p w14:paraId="155B9BD1"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0.43</w:t>
            </w:r>
          </w:p>
        </w:tc>
      </w:tr>
      <w:tr w:rsidR="00B17D03" w:rsidRPr="00B17D03" w14:paraId="624650BF" w14:textId="77777777" w:rsidTr="00B17D03">
        <w:trPr>
          <w:trHeight w:val="300"/>
        </w:trPr>
        <w:tc>
          <w:tcPr>
            <w:tcW w:w="1400" w:type="dxa"/>
            <w:shd w:val="clear" w:color="auto" w:fill="auto"/>
            <w:noWrap/>
            <w:vAlign w:val="bottom"/>
            <w:hideMark/>
          </w:tcPr>
          <w:p w14:paraId="10222ED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eq4squared</w:t>
            </w:r>
          </w:p>
        </w:tc>
        <w:tc>
          <w:tcPr>
            <w:tcW w:w="1655" w:type="dxa"/>
            <w:shd w:val="clear" w:color="auto" w:fill="auto"/>
            <w:noWrap/>
            <w:vAlign w:val="bottom"/>
            <w:hideMark/>
          </w:tcPr>
          <w:p w14:paraId="0A6C021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0.013</w:t>
            </w:r>
          </w:p>
        </w:tc>
        <w:tc>
          <w:tcPr>
            <w:tcW w:w="1890" w:type="dxa"/>
            <w:shd w:val="clear" w:color="auto" w:fill="auto"/>
            <w:noWrap/>
            <w:vAlign w:val="bottom"/>
            <w:hideMark/>
          </w:tcPr>
          <w:p w14:paraId="6C98FC3A"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4112F0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0.22</w:t>
            </w:r>
          </w:p>
        </w:tc>
      </w:tr>
      <w:tr w:rsidR="00B17D03" w:rsidRPr="00B17D03" w14:paraId="5FA889A4" w14:textId="77777777" w:rsidTr="00B17D03">
        <w:trPr>
          <w:trHeight w:val="300"/>
        </w:trPr>
        <w:tc>
          <w:tcPr>
            <w:tcW w:w="1400" w:type="dxa"/>
            <w:shd w:val="clear" w:color="auto" w:fill="auto"/>
            <w:noWrap/>
            <w:vAlign w:val="bottom"/>
            <w:hideMark/>
          </w:tcPr>
          <w:p w14:paraId="3E949F7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eq4cubed</w:t>
            </w:r>
          </w:p>
        </w:tc>
        <w:tc>
          <w:tcPr>
            <w:tcW w:w="1655" w:type="dxa"/>
            <w:shd w:val="clear" w:color="auto" w:fill="auto"/>
            <w:noWrap/>
            <w:vAlign w:val="bottom"/>
            <w:hideMark/>
          </w:tcPr>
          <w:p w14:paraId="66B7015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15BAF6F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0A045F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w:t>
            </w:r>
          </w:p>
        </w:tc>
      </w:tr>
      <w:tr w:rsidR="00B17D03" w:rsidRPr="00B17D03" w14:paraId="431DFF31" w14:textId="77777777" w:rsidTr="00B17D03">
        <w:trPr>
          <w:trHeight w:val="300"/>
        </w:trPr>
        <w:tc>
          <w:tcPr>
            <w:tcW w:w="1400" w:type="dxa"/>
            <w:shd w:val="clear" w:color="auto" w:fill="auto"/>
            <w:noWrap/>
            <w:vAlign w:val="bottom"/>
            <w:hideMark/>
          </w:tcPr>
          <w:p w14:paraId="5FB536E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w:t>
            </w:r>
          </w:p>
        </w:tc>
        <w:tc>
          <w:tcPr>
            <w:tcW w:w="1655" w:type="dxa"/>
            <w:shd w:val="clear" w:color="auto" w:fill="auto"/>
            <w:noWrap/>
            <w:vAlign w:val="bottom"/>
            <w:hideMark/>
          </w:tcPr>
          <w:p w14:paraId="46087CC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4EA7F353"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1C2E9BD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1.31</w:t>
            </w:r>
          </w:p>
        </w:tc>
      </w:tr>
      <w:tr w:rsidR="00B17D03" w:rsidRPr="00B17D03" w14:paraId="232AD157" w14:textId="77777777" w:rsidTr="00B17D03">
        <w:trPr>
          <w:trHeight w:val="300"/>
        </w:trPr>
        <w:tc>
          <w:tcPr>
            <w:tcW w:w="1400" w:type="dxa"/>
            <w:shd w:val="clear" w:color="auto" w:fill="auto"/>
            <w:noWrap/>
            <w:vAlign w:val="bottom"/>
            <w:hideMark/>
          </w:tcPr>
          <w:p w14:paraId="70D3E472" w14:textId="5CB3D239"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eq6squared</w:t>
            </w:r>
            <w:r w:rsidR="00813A5A">
              <w:rPr>
                <w:rFonts w:ascii="Calibri" w:eastAsia="Times New Roman" w:hAnsi="Calibri" w:cs="Calibri"/>
                <w:color w:val="000000"/>
              </w:rPr>
              <w:t>*</w:t>
            </w:r>
          </w:p>
        </w:tc>
        <w:tc>
          <w:tcPr>
            <w:tcW w:w="1655" w:type="dxa"/>
            <w:shd w:val="clear" w:color="auto" w:fill="auto"/>
            <w:noWrap/>
            <w:vAlign w:val="bottom"/>
            <w:hideMark/>
          </w:tcPr>
          <w:p w14:paraId="0BEFEDF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0.006</w:t>
            </w:r>
          </w:p>
        </w:tc>
        <w:tc>
          <w:tcPr>
            <w:tcW w:w="1890" w:type="dxa"/>
            <w:shd w:val="clear" w:color="auto" w:fill="auto"/>
            <w:noWrap/>
            <w:vAlign w:val="bottom"/>
            <w:hideMark/>
          </w:tcPr>
          <w:p w14:paraId="0E88DCA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33857D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0.14</w:t>
            </w:r>
          </w:p>
        </w:tc>
      </w:tr>
      <w:tr w:rsidR="00B17D03" w:rsidRPr="00B17D03" w14:paraId="0713BDFE" w14:textId="77777777" w:rsidTr="00B17D03">
        <w:trPr>
          <w:trHeight w:val="300"/>
        </w:trPr>
        <w:tc>
          <w:tcPr>
            <w:tcW w:w="1400" w:type="dxa"/>
            <w:shd w:val="clear" w:color="auto" w:fill="auto"/>
            <w:noWrap/>
            <w:vAlign w:val="bottom"/>
            <w:hideMark/>
          </w:tcPr>
          <w:p w14:paraId="3CADB64C"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eq6cubed*</w:t>
            </w:r>
          </w:p>
        </w:tc>
        <w:tc>
          <w:tcPr>
            <w:tcW w:w="1655" w:type="dxa"/>
            <w:shd w:val="clear" w:color="auto" w:fill="auto"/>
            <w:noWrap/>
            <w:vAlign w:val="bottom"/>
            <w:hideMark/>
          </w:tcPr>
          <w:p w14:paraId="6F37443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3641048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758070F"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-0.018</w:t>
            </w:r>
          </w:p>
        </w:tc>
      </w:tr>
      <w:tr w:rsidR="00B17D03" w:rsidRPr="00B17D03" w14:paraId="59C2B929" w14:textId="77777777" w:rsidTr="00B17D03">
        <w:trPr>
          <w:trHeight w:val="300"/>
        </w:trPr>
        <w:tc>
          <w:tcPr>
            <w:tcW w:w="1400" w:type="dxa"/>
            <w:shd w:val="clear" w:color="auto" w:fill="auto"/>
            <w:noWrap/>
            <w:vAlign w:val="bottom"/>
            <w:hideMark/>
          </w:tcPr>
          <w:p w14:paraId="1B6C705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male*</w:t>
            </w:r>
          </w:p>
        </w:tc>
        <w:tc>
          <w:tcPr>
            <w:tcW w:w="1655" w:type="dxa"/>
            <w:shd w:val="clear" w:color="auto" w:fill="auto"/>
            <w:noWrap/>
            <w:vAlign w:val="bottom"/>
            <w:hideMark/>
          </w:tcPr>
          <w:p w14:paraId="2A1ECD3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7AB38A5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54D0651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2.29</w:t>
            </w:r>
          </w:p>
        </w:tc>
      </w:tr>
      <w:tr w:rsidR="00B17D03" w:rsidRPr="00B17D03" w14:paraId="2817C53F" w14:textId="77777777" w:rsidTr="00B17D03">
        <w:trPr>
          <w:trHeight w:val="300"/>
        </w:trPr>
        <w:tc>
          <w:tcPr>
            <w:tcW w:w="1400" w:type="dxa"/>
            <w:shd w:val="clear" w:color="auto" w:fill="auto"/>
            <w:noWrap/>
            <w:vAlign w:val="bottom"/>
            <w:hideMark/>
          </w:tcPr>
          <w:p w14:paraId="1E462E44"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_income2</w:t>
            </w:r>
          </w:p>
        </w:tc>
        <w:tc>
          <w:tcPr>
            <w:tcW w:w="1655" w:type="dxa"/>
            <w:shd w:val="clear" w:color="auto" w:fill="auto"/>
            <w:noWrap/>
            <w:vAlign w:val="bottom"/>
            <w:hideMark/>
          </w:tcPr>
          <w:p w14:paraId="0569AE6A"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0.021</w:t>
            </w:r>
          </w:p>
        </w:tc>
        <w:tc>
          <w:tcPr>
            <w:tcW w:w="1890" w:type="dxa"/>
            <w:shd w:val="clear" w:color="auto" w:fill="auto"/>
            <w:noWrap/>
            <w:vAlign w:val="bottom"/>
            <w:hideMark/>
          </w:tcPr>
          <w:p w14:paraId="4254C577"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49283F7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1.84</w:t>
            </w:r>
          </w:p>
        </w:tc>
      </w:tr>
      <w:tr w:rsidR="00B17D03" w:rsidRPr="00B17D03" w14:paraId="4D83E8C4" w14:textId="77777777" w:rsidTr="00B17D03">
        <w:trPr>
          <w:trHeight w:val="300"/>
        </w:trPr>
        <w:tc>
          <w:tcPr>
            <w:tcW w:w="1400" w:type="dxa"/>
            <w:shd w:val="clear" w:color="auto" w:fill="auto"/>
            <w:noWrap/>
            <w:vAlign w:val="bottom"/>
            <w:hideMark/>
          </w:tcPr>
          <w:p w14:paraId="32F6D5E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_income6</w:t>
            </w:r>
          </w:p>
        </w:tc>
        <w:tc>
          <w:tcPr>
            <w:tcW w:w="1655" w:type="dxa"/>
            <w:shd w:val="clear" w:color="auto" w:fill="auto"/>
            <w:noWrap/>
            <w:vAlign w:val="bottom"/>
            <w:hideMark/>
          </w:tcPr>
          <w:p w14:paraId="42780A5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0.003</w:t>
            </w:r>
          </w:p>
        </w:tc>
        <w:tc>
          <w:tcPr>
            <w:tcW w:w="1890" w:type="dxa"/>
            <w:shd w:val="clear" w:color="auto" w:fill="auto"/>
            <w:noWrap/>
            <w:vAlign w:val="bottom"/>
            <w:hideMark/>
          </w:tcPr>
          <w:p w14:paraId="1231207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01B6666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-17.39</w:t>
            </w:r>
          </w:p>
        </w:tc>
      </w:tr>
      <w:tr w:rsidR="00B17D03" w:rsidRPr="00B17D03" w14:paraId="5127EFAA" w14:textId="77777777" w:rsidTr="00B17D03">
        <w:trPr>
          <w:trHeight w:val="300"/>
        </w:trPr>
        <w:tc>
          <w:tcPr>
            <w:tcW w:w="1400" w:type="dxa"/>
            <w:shd w:val="clear" w:color="auto" w:fill="auto"/>
            <w:noWrap/>
            <w:vAlign w:val="bottom"/>
            <w:hideMark/>
          </w:tcPr>
          <w:p w14:paraId="58859580"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_industry6**</w:t>
            </w:r>
          </w:p>
        </w:tc>
        <w:tc>
          <w:tcPr>
            <w:tcW w:w="1655" w:type="dxa"/>
            <w:shd w:val="clear" w:color="auto" w:fill="auto"/>
            <w:noWrap/>
            <w:vAlign w:val="bottom"/>
            <w:hideMark/>
          </w:tcPr>
          <w:p w14:paraId="17C5285E"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0.015</w:t>
            </w:r>
          </w:p>
        </w:tc>
        <w:tc>
          <w:tcPr>
            <w:tcW w:w="1890" w:type="dxa"/>
            <w:shd w:val="clear" w:color="auto" w:fill="auto"/>
            <w:noWrap/>
            <w:vAlign w:val="bottom"/>
            <w:hideMark/>
          </w:tcPr>
          <w:p w14:paraId="01AA61F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007CDC9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2.18</w:t>
            </w:r>
          </w:p>
        </w:tc>
      </w:tr>
      <w:tr w:rsidR="00B17D03" w:rsidRPr="00B17D03" w14:paraId="78B07B99" w14:textId="77777777" w:rsidTr="00B17D03">
        <w:trPr>
          <w:trHeight w:val="300"/>
        </w:trPr>
        <w:tc>
          <w:tcPr>
            <w:tcW w:w="1400" w:type="dxa"/>
            <w:shd w:val="clear" w:color="auto" w:fill="auto"/>
            <w:noWrap/>
            <w:vAlign w:val="bottom"/>
            <w:hideMark/>
          </w:tcPr>
          <w:p w14:paraId="042236E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_industry9**</w:t>
            </w:r>
          </w:p>
        </w:tc>
        <w:tc>
          <w:tcPr>
            <w:tcW w:w="1655" w:type="dxa"/>
            <w:shd w:val="clear" w:color="auto" w:fill="auto"/>
            <w:noWrap/>
            <w:vAlign w:val="bottom"/>
            <w:hideMark/>
          </w:tcPr>
          <w:p w14:paraId="2FA1F79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0.007</w:t>
            </w:r>
          </w:p>
        </w:tc>
        <w:tc>
          <w:tcPr>
            <w:tcW w:w="1890" w:type="dxa"/>
            <w:shd w:val="clear" w:color="auto" w:fill="auto"/>
            <w:noWrap/>
            <w:vAlign w:val="bottom"/>
            <w:hideMark/>
          </w:tcPr>
          <w:p w14:paraId="73A43F5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F1F8EA6"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8.96</w:t>
            </w:r>
          </w:p>
        </w:tc>
      </w:tr>
      <w:tr w:rsidR="00B17D03" w:rsidRPr="00B17D03" w14:paraId="03341092" w14:textId="77777777" w:rsidTr="00B17D03">
        <w:trPr>
          <w:trHeight w:val="300"/>
        </w:trPr>
        <w:tc>
          <w:tcPr>
            <w:tcW w:w="1400" w:type="dxa"/>
            <w:shd w:val="clear" w:color="auto" w:fill="auto"/>
            <w:noWrap/>
            <w:vAlign w:val="bottom"/>
            <w:hideMark/>
          </w:tcPr>
          <w:p w14:paraId="2582A22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cprovider1**</w:t>
            </w:r>
          </w:p>
        </w:tc>
        <w:tc>
          <w:tcPr>
            <w:tcW w:w="1655" w:type="dxa"/>
            <w:shd w:val="clear" w:color="auto" w:fill="auto"/>
            <w:noWrap/>
            <w:vAlign w:val="bottom"/>
            <w:hideMark/>
          </w:tcPr>
          <w:p w14:paraId="1F9493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0.075</w:t>
            </w:r>
          </w:p>
        </w:tc>
        <w:tc>
          <w:tcPr>
            <w:tcW w:w="1890" w:type="dxa"/>
            <w:shd w:val="clear" w:color="auto" w:fill="auto"/>
            <w:noWrap/>
            <w:vAlign w:val="bottom"/>
            <w:hideMark/>
          </w:tcPr>
          <w:p w14:paraId="21E9B3B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1D9F4C0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1.54</w:t>
            </w:r>
          </w:p>
        </w:tc>
      </w:tr>
    </w:tbl>
    <w:p w14:paraId="7BA0F5E7" w14:textId="1006CB00" w:rsidR="00B17D03" w:rsidRPr="00D97AFA" w:rsidRDefault="00B17D03" w:rsidP="004F3337">
      <w:pPr>
        <w:rPr>
          <w:sz w:val="16"/>
          <w:szCs w:val="16"/>
        </w:rPr>
      </w:pPr>
      <w:r w:rsidRPr="00D97AFA">
        <w:rPr>
          <w:sz w:val="16"/>
          <w:szCs w:val="16"/>
        </w:rPr>
        <w:t>*Vertically and Horizontally Robust</w:t>
      </w:r>
      <w:r w:rsidR="00D65B2B" w:rsidRPr="00D97AFA">
        <w:rPr>
          <w:sz w:val="16"/>
          <w:szCs w:val="16"/>
        </w:rPr>
        <w:br/>
      </w:r>
      <w:r w:rsidRPr="00D97AFA">
        <w:rPr>
          <w:sz w:val="16"/>
          <w:szCs w:val="16"/>
        </w:rPr>
        <w:t>**Vertically and H</w:t>
      </w:r>
      <w:r w:rsidR="007D0775" w:rsidRPr="00D97AFA">
        <w:rPr>
          <w:sz w:val="16"/>
          <w:szCs w:val="16"/>
        </w:rPr>
        <w:t>orizontally Robust and Important Effect Size</w:t>
      </w:r>
    </w:p>
    <w:p w14:paraId="2A3D7AC6" w14:textId="42376100" w:rsidR="00BE47A8" w:rsidRDefault="00BE47A8" w:rsidP="004F3337">
      <w:r>
        <w:t>Horizontal robustness checks the stability of values across models, across samples, and, in principle, across studies. Multiple study meta-analysis was not conducted in this case, but it follows the conceptualization of horizontal robustness.</w:t>
      </w:r>
    </w:p>
    <w:p w14:paraId="6C30F980" w14:textId="1F476F5F" w:rsidR="00C04CB7" w:rsidRDefault="00C04CB7" w:rsidP="004F3337">
      <w:r>
        <w:t xml:space="preserve">Horizontal robustness was measured as the </w:t>
      </w:r>
      <w:r w:rsidR="00EB6136">
        <w:t>ra</w:t>
      </w:r>
      <w:r w:rsidR="00690532">
        <w:t>tio</w:t>
      </w:r>
      <w:r>
        <w:t xml:space="preserve"> of the </w:t>
      </w:r>
      <w:r w:rsidR="00CB2404">
        <w:t>frequency</w:t>
      </w:r>
      <w:r>
        <w:t xml:space="preserve"> of a coefficient of the same sign as the average effect to the frequency of any coefficient, across the twenty models of interest.</w:t>
      </w:r>
      <w:r w:rsidR="003B7102">
        <w:t xml:space="preserve"> If a coefficient had the same sign in every case, it received a horizontal robustness of 1. Such variables are r</w:t>
      </w:r>
      <w:r w:rsidR="00112066">
        <w:t>eported in Table 3. Values roughly as low as .29 were observed, and arguably factors with a horizontal robustness of less than 1 could be considered interesting.</w:t>
      </w:r>
      <w:r w:rsidR="000F40BF">
        <w:t xml:space="preserve"> The horizontal effect size is the average effect across </w:t>
      </w:r>
      <w:r w:rsidR="003A672F">
        <w:t>models of interest</w:t>
      </w:r>
      <w:r w:rsidR="000F40BF">
        <w:t>.</w:t>
      </w:r>
    </w:p>
    <w:p w14:paraId="52412183" w14:textId="3EA8E2C0" w:rsidR="001A3E1E" w:rsidRDefault="001A3E1E" w:rsidP="004F3337">
      <w:r>
        <w:t>Factors which were significant in one strong model were sometimes significant in multiple strong models. As a result, a significant value for a factor is not uniquely identified. The vertical effect has the unique status of being the most significant effect of a factor across all models.</w:t>
      </w:r>
      <w:r w:rsidR="00C45E6F">
        <w:t xml:space="preserve"> The model in which such effect appears is identified as the strong model in the row for that factor.</w:t>
      </w:r>
    </w:p>
    <w:p w14:paraId="5DD8CC95" w14:textId="3E54B45A" w:rsidR="00F54A8F" w:rsidRDefault="001747BB" w:rsidP="00120C62">
      <w:r>
        <w:t>Average effect size was calculated per factor across all models. The average of these average effects is considered the exploratory average effect. Factors are considered to have an important effect size if they have an average effect which exceeds the exploratory average effect.</w:t>
      </w:r>
    </w:p>
    <w:p w14:paraId="6AF18ADD" w14:textId="264409CD" w:rsidR="004F3337" w:rsidRDefault="00FC2E8D" w:rsidP="00243682">
      <w:r>
        <w:t xml:space="preserve">From a space of 58 factors, </w:t>
      </w:r>
      <w:r w:rsidR="002B2001">
        <w:t>24 factors had an effect which was vertically or horizontally robust.</w:t>
      </w:r>
      <w:r w:rsidR="00F10709">
        <w:t xml:space="preserve"> 6 factors had an effect which was both, and 3 factors were bidirectionally robust and important.</w:t>
      </w:r>
      <w:r w:rsidR="008A6BFD">
        <w:t xml:space="preserve"> Two of these three factors are industry effects. Industry 6</w:t>
      </w:r>
      <w:r w:rsidR="00B6052F">
        <w:t xml:space="preserve"> is i</w:t>
      </w:r>
      <w:r w:rsidR="00185942">
        <w:t xml:space="preserve">nformation </w:t>
      </w:r>
      <w:r w:rsidR="00B6052F">
        <w:t>t</w:t>
      </w:r>
      <w:r w:rsidR="00185942">
        <w:t>echnology</w:t>
      </w:r>
      <w:r w:rsidR="0017063E">
        <w:t xml:space="preserve"> and Industry 9 is the military.</w:t>
      </w:r>
    </w:p>
    <w:p w14:paraId="4F6922F7" w14:textId="31964A32" w:rsidR="004F3337" w:rsidRDefault="003E60AE" w:rsidP="004F3337">
      <w:r>
        <w:t>The other super-strong factor was a continuous variable generated from a count of the e-learning providers a respondent identified as familiar to them. T</w:t>
      </w:r>
      <w:r w:rsidR="0014493E">
        <w:t>his establishes a strong familiarity effect, where respondents exposed to online learning platforms tend to favor such platforms.</w:t>
      </w:r>
      <w:r w:rsidR="00163896">
        <w:t xml:space="preserve"> This factor had horizontally robust negative marginal effect.</w:t>
      </w:r>
    </w:p>
    <w:p w14:paraId="6D4199E6" w14:textId="08B9F65B" w:rsidR="00243682" w:rsidRDefault="00243682" w:rsidP="004F3337"/>
    <w:p w14:paraId="2F28D61D" w14:textId="2DEEB517" w:rsidR="00EB0BAA" w:rsidRPr="00EB0BAA" w:rsidRDefault="00EB0BAA" w:rsidP="004F3337">
      <w:pPr>
        <w:rPr>
          <w:b/>
        </w:rPr>
      </w:pPr>
      <w:r>
        <w:rPr>
          <w:b/>
        </w:rPr>
        <w:lastRenderedPageBreak/>
        <w:t>Table 3 – Horizontally Robust Factors and Importance</w:t>
      </w:r>
    </w:p>
    <w:p w14:paraId="522B2332" w14:textId="15B8008D" w:rsidR="00EB0BAA" w:rsidRDefault="00EB0BAA" w:rsidP="004F3337">
      <w:r>
        <w:rPr>
          <w:noProof/>
        </w:rPr>
        <w:drawing>
          <wp:inline distT="0" distB="0" distL="0" distR="0" wp14:anchorId="4EF9DC31" wp14:editId="62811BC4">
            <wp:extent cx="42386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390900"/>
                    </a:xfrm>
                    <a:prstGeom prst="rect">
                      <a:avLst/>
                    </a:prstGeom>
                  </pic:spPr>
                </pic:pic>
              </a:graphicData>
            </a:graphic>
          </wp:inline>
        </w:drawing>
      </w:r>
    </w:p>
    <w:p w14:paraId="1B9DF8E2" w14:textId="77777777" w:rsidR="00C37574" w:rsidRDefault="009E49EC" w:rsidP="004F3337">
      <w:r>
        <w:t>Income didn’t have much of an effect, whether assessed continuously or categorically. Income group 6 had the largest coefficient of all factors analyzed, but this group has a subsample of 1 and it is the outlier discussed in section II.I.</w:t>
      </w:r>
    </w:p>
    <w:p w14:paraId="7A814BF8" w14:textId="77777777" w:rsidR="00427DEC" w:rsidRDefault="00C37574" w:rsidP="004F3337">
      <w:r>
        <w:t>Q4 and Q6 had interesting effects. Q4 asks whether cryptocurrency is overall a good thing for society. This question is intended to capture a general attitude toward technology. Research has established both the effect of a pro-innovation bias</w:t>
      </w:r>
      <w:r w:rsidR="00AA632D">
        <w:rPr>
          <w:rStyle w:val="FootnoteReference"/>
        </w:rPr>
        <w:footnoteReference w:id="4"/>
      </w:r>
      <w:r>
        <w:t xml:space="preserve"> and an anti-innovation bias</w:t>
      </w:r>
      <w:r w:rsidR="00951B6D">
        <w:t>, or status quo bias</w:t>
      </w:r>
      <w:r w:rsidR="00AD47ED">
        <w:rPr>
          <w:rStyle w:val="FootnoteReference"/>
        </w:rPr>
        <w:footnoteReference w:id="5"/>
      </w:r>
      <w:r>
        <w:t>.</w:t>
      </w:r>
      <w:r w:rsidR="007F4EDE">
        <w:t xml:space="preserve"> A positive coefficient on this factor is consistent with the literature.</w:t>
      </w:r>
    </w:p>
    <w:p w14:paraId="2B072352" w14:textId="09A7840B" w:rsidR="007F4EDE" w:rsidRDefault="007F4EDE" w:rsidP="004F3337">
      <w:r>
        <w:t>Q6</w:t>
      </w:r>
      <w:r w:rsidR="003F5088">
        <w:t xml:space="preserve"> captures anti-foreign bias with a positive linear effect. The positive quadratic and negative cubic effects are </w:t>
      </w:r>
      <w:r w:rsidR="00161A35">
        <w:t>interpreted jointly</w:t>
      </w:r>
      <w:r w:rsidR="003F5088">
        <w:t xml:space="preserve"> as an eventually negative marginal effect, where some intermediate region has a non-negative marginal effect.</w:t>
      </w:r>
    </w:p>
    <w:p w14:paraId="116521EF" w14:textId="277B1CFB" w:rsidR="00813A5A" w:rsidRDefault="00E1467F" w:rsidP="004F3337">
      <w:r>
        <w:t>A key result of the survey is to show that individuals who make hiring and firing decisions tend to be favorable to alternative education, as do the unemployed. This opposes the notion that employers may constitute a bottleneck in the social normalization of alternative education.</w:t>
      </w:r>
      <w:r w:rsidR="00C30513">
        <w:t xml:space="preserve"> </w:t>
      </w:r>
      <w:r w:rsidR="0008631E">
        <w:t xml:space="preserve">As a practical matter, this encourages individuals to show alternative credentials on their resume, which could spur adoption. </w:t>
      </w:r>
      <w:r w:rsidR="00C30513">
        <w:t>The fact that employers and the unemployed both favor alternative educat</w:t>
      </w:r>
      <w:r w:rsidR="00222C15">
        <w:t>ion indicates that the less favorable labor group is the currently employed.</w:t>
      </w:r>
    </w:p>
    <w:p w14:paraId="7347494A" w14:textId="7F421E17" w:rsidR="00222C15" w:rsidRDefault="00222C15" w:rsidP="004F3337">
      <w:r>
        <w:t>STEM workers are more favorable of alternative education. Those who do not work in STEM or who do not know whether they work in a STEM field are less favorable. This effect exists after including industry effects.</w:t>
      </w:r>
      <w:r w:rsidR="00B469D6">
        <w:t xml:space="preserve"> This was an unexpected result because</w:t>
      </w:r>
      <w:r w:rsidR="003C3642">
        <w:t xml:space="preserve"> STEM is generally thought of as an industry </w:t>
      </w:r>
      <w:r w:rsidR="003C3642">
        <w:lastRenderedPageBreak/>
        <w:t>characteristic, which means it should be fully included in industry effects. Two other reasons STEM effects were not expected is because STEM designation varies by jurisdiction</w:t>
      </w:r>
      <w:r w:rsidR="008617F4">
        <w:rPr>
          <w:rStyle w:val="FootnoteReference"/>
        </w:rPr>
        <w:footnoteReference w:id="6"/>
      </w:r>
      <w:r w:rsidR="008617F4">
        <w:t xml:space="preserve">, and because all </w:t>
      </w:r>
      <w:r w:rsidR="00E35BEF">
        <w:t>professions</w:t>
      </w:r>
      <w:r w:rsidR="008617F4">
        <w:t xml:space="preserve"> </w:t>
      </w:r>
      <w:r w:rsidR="00E35BEF">
        <w:t>leverage technology</w:t>
      </w:r>
      <w:r w:rsidR="003C3642">
        <w:t>.</w:t>
      </w:r>
      <w:r w:rsidR="008617F4">
        <w:t xml:space="preserve"> Art professions are taken as an antithesis of STEM, but artists frequ</w:t>
      </w:r>
      <w:r w:rsidR="00A00C6F">
        <w:t>ently utilize technology today.</w:t>
      </w:r>
    </w:p>
    <w:p w14:paraId="0456F3BA" w14:textId="5216D4F5" w:rsidR="001D67A8" w:rsidRDefault="00E35BEF" w:rsidP="00254BAD">
      <w:r>
        <w:t xml:space="preserve">Rather than devolving into meaninglessness, it seems the STEM variable is capturing an important distinction. </w:t>
      </w:r>
      <w:r w:rsidR="00A3122A">
        <w:t xml:space="preserve">On reflection, there are some possible intuitions for this. </w:t>
      </w:r>
      <w:r>
        <w:t>Some artists work in</w:t>
      </w:r>
      <w:r w:rsidR="00A00C6F">
        <w:t xml:space="preserve"> or with relatively advanced</w:t>
      </w:r>
      <w:r>
        <w:t xml:space="preserve"> technology and some don’t. </w:t>
      </w:r>
      <w:r w:rsidR="00A00C6F">
        <w:t>Some are particularly old-fashioned. Those professionals who work</w:t>
      </w:r>
      <w:r w:rsidR="00A3122A">
        <w:t xml:space="preserve"> in or with advanced technology will tend to favor online learning. In this way, the STEM designation functions as a secondary pro-innovation bias factor.</w:t>
      </w:r>
    </w:p>
    <w:p w14:paraId="7AB7B48F" w14:textId="378C75AB" w:rsidR="006F28C5" w:rsidRPr="003A339B" w:rsidRDefault="0007186A" w:rsidP="001D67A8">
      <w:pPr>
        <w:rPr>
          <w:b/>
        </w:rPr>
      </w:pPr>
      <w:r>
        <w:rPr>
          <w:b/>
        </w:rPr>
        <w:t>III. Provider Data Study</w:t>
      </w:r>
    </w:p>
    <w:p w14:paraId="459B43A1" w14:textId="64A6D4A3" w:rsidR="00597548" w:rsidRDefault="00597548" w:rsidP="006F28C5">
      <w:r>
        <w:t>[From here forward the article is in a pre-draft state, like rough notes]</w:t>
      </w:r>
    </w:p>
    <w:p w14:paraId="7496BF91" w14:textId="134127A9" w:rsidR="006F28C5" w:rsidRDefault="00A3122A" w:rsidP="006F28C5">
      <w:r>
        <w:t>Scraping Udacity so far has weakly indicated no significant difference in the employment rate (not unemployment rate) of those with a Udacity account vs the ordinary public. This may hide an employment benefit because pre-employable age individuals can obtain a Udacity account.</w:t>
      </w:r>
    </w:p>
    <w:p w14:paraId="7AB2C0FD" w14:textId="5F9C8903" w:rsidR="00597548" w:rsidRDefault="00597548" w:rsidP="006F28C5">
      <w:r>
        <w:t>I need to scraped LinkedIn and other places.</w:t>
      </w:r>
    </w:p>
    <w:p w14:paraId="651E3868" w14:textId="77777777" w:rsidR="00A3122A" w:rsidRDefault="00A3122A" w:rsidP="00A3122A">
      <w:r>
        <w:t>-Statistics from Provider Marketing Materials</w:t>
      </w:r>
    </w:p>
    <w:p w14:paraId="5366EBCF" w14:textId="77777777" w:rsidR="00A3122A" w:rsidRDefault="00A3122A" w:rsidP="00A3122A">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2E7151F8" w14:textId="77777777" w:rsidR="00A3122A" w:rsidRDefault="00A3122A" w:rsidP="00A3122A">
      <w:r>
        <w:t>-</w:t>
      </w:r>
      <w:proofErr w:type="spellStart"/>
      <w:r>
        <w:t>linkedIn</w:t>
      </w:r>
      <w:proofErr w:type="spellEnd"/>
      <w:r>
        <w:t xml:space="preserve"> gets you more recruiter views or something</w:t>
      </w:r>
    </w:p>
    <w:p w14:paraId="4C6274E7" w14:textId="77777777" w:rsidR="00A3122A" w:rsidRDefault="00A3122A" w:rsidP="00A3122A">
      <w:r>
        <w:t>-degreed claims (data or no) to increase retention</w:t>
      </w:r>
    </w:p>
    <w:p w14:paraId="782BABA4" w14:textId="77777777" w:rsidR="00A3122A" w:rsidRDefault="00A3122A" w:rsidP="00A3122A">
      <w:r>
        <w:t xml:space="preserve">-Degreed says points don’t matter and </w:t>
      </w:r>
      <w:proofErr w:type="spellStart"/>
      <w:r>
        <w:t>PluralSight</w:t>
      </w:r>
      <w:proofErr w:type="spellEnd"/>
      <w:r>
        <w:t xml:space="preserve"> says don’t use Skill IQ for employment decisions…but are they being too modest??</w:t>
      </w:r>
    </w:p>
    <w:p w14:paraId="3E6497BB" w14:textId="77777777" w:rsidR="00A3122A" w:rsidRDefault="00A3122A" w:rsidP="00A3122A">
      <w:r>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p w14:paraId="68A31D68" w14:textId="77777777" w:rsidR="00A3122A" w:rsidRDefault="00A3122A" w:rsidP="006F28C5"/>
    <w:p w14:paraId="79FB1F62" w14:textId="31EFE372" w:rsidR="00A3122A" w:rsidRDefault="00A3122A" w:rsidP="006F28C5"/>
    <w:p w14:paraId="5AF5552B" w14:textId="77777777" w:rsidR="00A3122A" w:rsidRDefault="00A3122A"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7A22865F" w:rsidR="006F28C5" w:rsidRDefault="00BD3767" w:rsidP="00BD3767">
      <w:pPr>
        <w:pStyle w:val="ListParagraph"/>
        <w:numPr>
          <w:ilvl w:val="0"/>
          <w:numId w:val="10"/>
        </w:numPr>
      </w:pPr>
      <w:r>
        <w:t>Employers can proactively hire from eLearning providers like Udacity</w:t>
      </w:r>
    </w:p>
    <w:p w14:paraId="1989F13C" w14:textId="18FE609C" w:rsidR="006578DE" w:rsidRDefault="006578DE" w:rsidP="006578DE">
      <w:pPr>
        <w:pStyle w:val="ListParagraph"/>
        <w:numPr>
          <w:ilvl w:val="1"/>
          <w:numId w:val="10"/>
        </w:numPr>
      </w:pPr>
      <w:r w:rsidRPr="006578DE">
        <w:t>https://www.udacity.com/hire-talent</w:t>
      </w:r>
    </w:p>
    <w:p w14:paraId="71CD1005" w14:textId="21F2A360" w:rsidR="006578DE" w:rsidRDefault="003E7C8E" w:rsidP="003E7C8E">
      <w:pPr>
        <w:pStyle w:val="ListParagraph"/>
        <w:numPr>
          <w:ilvl w:val="1"/>
          <w:numId w:val="10"/>
        </w:numPr>
      </w:pPr>
      <w:r w:rsidRPr="003E7C8E">
        <w:t>https://blog.udacity.com/2016/04/how-your-new-udacity-profile-can-get-you-a-job.html</w:t>
      </w:r>
    </w:p>
    <w:p w14:paraId="281960BE" w14:textId="41722967" w:rsidR="00BD3767" w:rsidRDefault="00BD3767" w:rsidP="00BD3767">
      <w:pPr>
        <w:pStyle w:val="ListParagraph"/>
        <w:numPr>
          <w:ilvl w:val="0"/>
          <w:numId w:val="10"/>
        </w:numPr>
      </w:pPr>
      <w:r>
        <w:t>Employers can sometimes integrate or replace their internal LMS or HR systems with e-learning providers.</w:t>
      </w:r>
    </w:p>
    <w:p w14:paraId="53AB19CD" w14:textId="5E294A9F" w:rsidR="009D4B55" w:rsidRDefault="009D4B55" w:rsidP="00BD3767">
      <w:pPr>
        <w:pStyle w:val="ListParagraph"/>
        <w:numPr>
          <w:ilvl w:val="0"/>
          <w:numId w:val="10"/>
        </w:numPr>
      </w:pPr>
      <w:r>
        <w:t xml:space="preserve">Employers can recommend completion of </w:t>
      </w:r>
      <w:proofErr w:type="spellStart"/>
      <w:r>
        <w:t>elearning</w:t>
      </w:r>
      <w:proofErr w:type="spellEnd"/>
      <w:r>
        <w:t xml:space="preserve"> courses or attainment of alternative credentials during performance reviews (or at any time)</w:t>
      </w:r>
    </w:p>
    <w:p w14:paraId="7120AA7F" w14:textId="40D9797B" w:rsidR="009D4B55" w:rsidRDefault="009D4B55" w:rsidP="009D4B55">
      <w:pPr>
        <w:pStyle w:val="ListParagraph"/>
        <w:numPr>
          <w:ilvl w:val="1"/>
          <w:numId w:val="10"/>
        </w:numPr>
      </w:pPr>
      <w:r>
        <w:t xml:space="preserve">Career growth and no ability to improve skills is </w:t>
      </w:r>
      <w:proofErr w:type="gramStart"/>
      <w:r>
        <w:t>a key reason employees</w:t>
      </w:r>
      <w:proofErr w:type="gramEnd"/>
      <w:r>
        <w:t xml:space="preserve"> leave</w:t>
      </w:r>
    </w:p>
    <w:p w14:paraId="721636ED" w14:textId="6CD914CB" w:rsidR="009D4B55" w:rsidRDefault="006578DE" w:rsidP="009D4B55">
      <w:pPr>
        <w:pStyle w:val="ListParagraph"/>
        <w:numPr>
          <w:ilvl w:val="0"/>
          <w:numId w:val="10"/>
        </w:numPr>
      </w:pPr>
      <w:proofErr w:type="spellStart"/>
      <w:r>
        <w:t>Policymakes</w:t>
      </w:r>
      <w:proofErr w:type="spellEnd"/>
      <w:r>
        <w:t xml:space="preserve"> and G scales, </w:t>
      </w:r>
      <w:proofErr w:type="spellStart"/>
      <w:r>
        <w:t>etc</w:t>
      </w:r>
      <w:proofErr w:type="spellEnd"/>
      <w:r>
        <w:t>, can move toward skill and evidence-based meritocracy instead of years of experience</w:t>
      </w:r>
      <w:r w:rsidR="005C2AF0">
        <w:t>. They can stop requiring degrees.</w:t>
      </w:r>
    </w:p>
    <w:p w14:paraId="5EFF9679" w14:textId="42AF69B2" w:rsidR="00781CD6" w:rsidRDefault="00D6684B" w:rsidP="009D4B55">
      <w:pPr>
        <w:pStyle w:val="ListParagraph"/>
        <w:numPr>
          <w:ilvl w:val="0"/>
          <w:numId w:val="10"/>
        </w:numPr>
      </w:pPr>
      <w:r>
        <w:t xml:space="preserve">Employees should place </w:t>
      </w:r>
      <w:proofErr w:type="spellStart"/>
      <w:r>
        <w:t>elearning</w:t>
      </w:r>
      <w:proofErr w:type="spellEnd"/>
      <w:r>
        <w:t xml:space="preserve"> on their resume(?)</w:t>
      </w:r>
    </w:p>
    <w:p w14:paraId="5E76B35E" w14:textId="1925F7EA" w:rsidR="00D6684B" w:rsidRDefault="00D6684B" w:rsidP="009D4B55">
      <w:pPr>
        <w:pStyle w:val="ListParagraph"/>
        <w:numPr>
          <w:ilvl w:val="0"/>
          <w:numId w:val="10"/>
        </w:numPr>
      </w:pPr>
      <w:r>
        <w:t>Individuals are better off with a Nanodegree than simple courses + portfolio(?)</w:t>
      </w:r>
    </w:p>
    <w:p w14:paraId="60A485A0" w14:textId="293C3D20" w:rsidR="003B5D1B" w:rsidRPr="00EC7B78" w:rsidRDefault="003B5D1B" w:rsidP="009D4B55">
      <w:pPr>
        <w:pStyle w:val="ListParagraph"/>
        <w:numPr>
          <w:ilvl w:val="0"/>
          <w:numId w:val="10"/>
        </w:numPr>
      </w:pPr>
      <w:r>
        <w:t>Employers can have higher quality (?)and lower cost (?)employees by leveraging alternative credentials</w:t>
      </w:r>
    </w:p>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7"/>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 xml:space="preserve">It will soon become </w:t>
      </w:r>
      <w:proofErr w:type="gramStart"/>
      <w:r w:rsidRPr="004D0F15">
        <w:t>fairly conventional</w:t>
      </w:r>
      <w:proofErr w:type="gramEnd"/>
      <w:r w:rsidRPr="004D0F15">
        <w:t xml:space="preserve">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4C65B296" w:rsidR="000C6F08" w:rsidRDefault="000C6F08" w:rsidP="000C6F08">
      <w:pPr>
        <w:pStyle w:val="ListParagraph"/>
        <w:numPr>
          <w:ilvl w:val="0"/>
          <w:numId w:val="9"/>
        </w:numPr>
      </w:pPr>
      <w:r>
        <w:t>Device Type*</w:t>
      </w:r>
      <w:r w:rsidR="00CB29EB">
        <w:t>*</w:t>
      </w:r>
    </w:p>
    <w:p w14:paraId="5D415206" w14:textId="74810A3E" w:rsidR="000C6F08" w:rsidRDefault="000C6F08" w:rsidP="000C6F08">
      <w:r>
        <w:t>*Responses included in purchased SurveyMonkey responses only</w:t>
      </w:r>
    </w:p>
    <w:p w14:paraId="1572DFFE" w14:textId="4A8EAD49" w:rsidR="00CB29EB" w:rsidRDefault="00CB29EB" w:rsidP="000C6F08">
      <w:r>
        <w:t>**This factor was provided but structurally exempted from analysis</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proofErr w:type="spellStart"/>
      <w:r>
        <w:t>Unformated</w:t>
      </w:r>
      <w:proofErr w:type="spellEnd"/>
      <w:r>
        <w:t xml:space="preserve">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proofErr w:type="spellStart"/>
      <w:r>
        <w:t>Gitlab</w:t>
      </w:r>
      <w:proofErr w:type="spellEnd"/>
      <w:r>
        <w:t xml:space="preserve">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 xml:space="preserve">Identification of Udacity </w:t>
      </w:r>
      <w:proofErr w:type="gramStart"/>
      <w:r>
        <w:t>in particular, and</w:t>
      </w:r>
      <w:proofErr w:type="gramEnd"/>
      <w:r>
        <w:t xml:space="preserve">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CABBF" w14:textId="77777777" w:rsidR="00011C78" w:rsidRDefault="00011C78" w:rsidP="00894826">
      <w:pPr>
        <w:spacing w:after="0" w:line="240" w:lineRule="auto"/>
      </w:pPr>
      <w:r>
        <w:separator/>
      </w:r>
    </w:p>
  </w:endnote>
  <w:endnote w:type="continuationSeparator" w:id="0">
    <w:p w14:paraId="7AF15D74" w14:textId="77777777" w:rsidR="00011C78" w:rsidRDefault="00011C78"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1AB4D" w14:textId="77777777" w:rsidR="00011C78" w:rsidRDefault="00011C78" w:rsidP="00894826">
      <w:pPr>
        <w:spacing w:after="0" w:line="240" w:lineRule="auto"/>
      </w:pPr>
      <w:r>
        <w:separator/>
      </w:r>
    </w:p>
  </w:footnote>
  <w:footnote w:type="continuationSeparator" w:id="0">
    <w:p w14:paraId="5B9E374A" w14:textId="77777777" w:rsidR="00011C78" w:rsidRDefault="00011C78"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1F825399" w14:textId="34ADB5BF" w:rsidR="00AA632D" w:rsidRDefault="00AA632D">
      <w:pPr>
        <w:pStyle w:val="FootnoteText"/>
      </w:pPr>
      <w:r>
        <w:rPr>
          <w:rStyle w:val="FootnoteReference"/>
        </w:rPr>
        <w:footnoteRef/>
      </w:r>
      <w:r>
        <w:t xml:space="preserve"> </w:t>
      </w:r>
      <w:hyperlink r:id="rId4" w:history="1">
        <w:r w:rsidRPr="00511D67">
          <w:rPr>
            <w:rStyle w:val="Hyperlink"/>
          </w:rPr>
          <w:t>https://en.wikipedia.org/w/index.php?title=Pro-innovation_bias&amp;oldid=806646937</w:t>
        </w:r>
      </w:hyperlink>
    </w:p>
  </w:footnote>
  <w:footnote w:id="5">
    <w:p w14:paraId="1C2937C5" w14:textId="6322AFCA" w:rsidR="00AD47ED" w:rsidRDefault="00AD47ED">
      <w:pPr>
        <w:pStyle w:val="FootnoteText"/>
      </w:pPr>
      <w:r>
        <w:rPr>
          <w:rStyle w:val="FootnoteReference"/>
        </w:rPr>
        <w:footnoteRef/>
      </w:r>
      <w:r>
        <w:t xml:space="preserve"> </w:t>
      </w:r>
      <w:hyperlink r:id="rId5" w:history="1">
        <w:r w:rsidRPr="00511D67">
          <w:rPr>
            <w:rStyle w:val="Hyperlink"/>
          </w:rPr>
          <w:t>https://en.wikipedia.org/w/index.php?title=Status_quo_bias&amp;oldid=829487998</w:t>
        </w:r>
      </w:hyperlink>
    </w:p>
  </w:footnote>
  <w:footnote w:id="6">
    <w:p w14:paraId="581D4C3B" w14:textId="48D50E61" w:rsidR="008617F4" w:rsidRDefault="008617F4">
      <w:pPr>
        <w:pStyle w:val="FootnoteText"/>
      </w:pPr>
      <w:r>
        <w:rPr>
          <w:rStyle w:val="FootnoteReference"/>
        </w:rPr>
        <w:footnoteRef/>
      </w:r>
      <w:r>
        <w:t xml:space="preserve"> </w:t>
      </w:r>
      <w:hyperlink r:id="rId6" w:history="1">
        <w:r w:rsidRPr="00511D67">
          <w:rPr>
            <w:rStyle w:val="Hyperlink"/>
          </w:rPr>
          <w:t>https://stateimpact.npr.org/florida/2013/03/19/why-florida-colleges-include-nursing-as-a-stem-job/</w:t>
        </w:r>
      </w:hyperlink>
    </w:p>
  </w:footnote>
  <w:footnote w:id="7">
    <w:p w14:paraId="7366BA7B" w14:textId="208671C3" w:rsidR="000C6F08" w:rsidRDefault="000C6F08">
      <w:pPr>
        <w:pStyle w:val="FootnoteText"/>
      </w:pPr>
      <w:r>
        <w:rPr>
          <w:rStyle w:val="FootnoteReference"/>
        </w:rPr>
        <w:footnoteRef/>
      </w:r>
      <w:r>
        <w:t xml:space="preserve"> Raw results at: </w:t>
      </w:r>
      <w:hyperlink r:id="rId7"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809"/>
    <w:multiLevelType w:val="hybridMultilevel"/>
    <w:tmpl w:val="6C92B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11C78"/>
    <w:rsid w:val="000214F7"/>
    <w:rsid w:val="00021A79"/>
    <w:rsid w:val="00024DFA"/>
    <w:rsid w:val="00047B1D"/>
    <w:rsid w:val="00066B72"/>
    <w:rsid w:val="0007186A"/>
    <w:rsid w:val="00080BA0"/>
    <w:rsid w:val="0008631E"/>
    <w:rsid w:val="00091941"/>
    <w:rsid w:val="000A0D80"/>
    <w:rsid w:val="000C6F08"/>
    <w:rsid w:val="000F40BF"/>
    <w:rsid w:val="000F6A04"/>
    <w:rsid w:val="00112066"/>
    <w:rsid w:val="00120C62"/>
    <w:rsid w:val="0014493E"/>
    <w:rsid w:val="001541CF"/>
    <w:rsid w:val="00161A35"/>
    <w:rsid w:val="00162023"/>
    <w:rsid w:val="00163896"/>
    <w:rsid w:val="0017063E"/>
    <w:rsid w:val="00170EE6"/>
    <w:rsid w:val="001747BB"/>
    <w:rsid w:val="00181FFD"/>
    <w:rsid w:val="001858E1"/>
    <w:rsid w:val="00185942"/>
    <w:rsid w:val="00185D10"/>
    <w:rsid w:val="00186AA4"/>
    <w:rsid w:val="001A3E1E"/>
    <w:rsid w:val="001A4CA0"/>
    <w:rsid w:val="001B0E60"/>
    <w:rsid w:val="001B5FC2"/>
    <w:rsid w:val="001D67A8"/>
    <w:rsid w:val="001E7CC0"/>
    <w:rsid w:val="001F4B42"/>
    <w:rsid w:val="001F6259"/>
    <w:rsid w:val="00222C15"/>
    <w:rsid w:val="00234AE9"/>
    <w:rsid w:val="00243682"/>
    <w:rsid w:val="00254BAD"/>
    <w:rsid w:val="0028248E"/>
    <w:rsid w:val="002954E5"/>
    <w:rsid w:val="002B00F5"/>
    <w:rsid w:val="002B2001"/>
    <w:rsid w:val="002B569C"/>
    <w:rsid w:val="002C7B7F"/>
    <w:rsid w:val="002F6A51"/>
    <w:rsid w:val="00302493"/>
    <w:rsid w:val="0032536E"/>
    <w:rsid w:val="00341F59"/>
    <w:rsid w:val="00355621"/>
    <w:rsid w:val="00372082"/>
    <w:rsid w:val="003A339B"/>
    <w:rsid w:val="003A672F"/>
    <w:rsid w:val="003B5D1B"/>
    <w:rsid w:val="003B7102"/>
    <w:rsid w:val="003C3642"/>
    <w:rsid w:val="003E1962"/>
    <w:rsid w:val="003E60AE"/>
    <w:rsid w:val="003E7C8E"/>
    <w:rsid w:val="003F5088"/>
    <w:rsid w:val="00400FD8"/>
    <w:rsid w:val="00403ADF"/>
    <w:rsid w:val="00427DEC"/>
    <w:rsid w:val="00464CBF"/>
    <w:rsid w:val="00487696"/>
    <w:rsid w:val="00496639"/>
    <w:rsid w:val="004D0F15"/>
    <w:rsid w:val="004E5B5F"/>
    <w:rsid w:val="004F2AB7"/>
    <w:rsid w:val="004F3337"/>
    <w:rsid w:val="005018BE"/>
    <w:rsid w:val="00583F26"/>
    <w:rsid w:val="0059109F"/>
    <w:rsid w:val="00593ADC"/>
    <w:rsid w:val="00597548"/>
    <w:rsid w:val="005C2AF0"/>
    <w:rsid w:val="005C47AE"/>
    <w:rsid w:val="005C79F7"/>
    <w:rsid w:val="005E6B90"/>
    <w:rsid w:val="005F2223"/>
    <w:rsid w:val="00631A3A"/>
    <w:rsid w:val="006338A0"/>
    <w:rsid w:val="00647B01"/>
    <w:rsid w:val="006578DE"/>
    <w:rsid w:val="00666CAE"/>
    <w:rsid w:val="00673E9B"/>
    <w:rsid w:val="00686B7C"/>
    <w:rsid w:val="00690532"/>
    <w:rsid w:val="006E1431"/>
    <w:rsid w:val="006E2F8C"/>
    <w:rsid w:val="006E49E6"/>
    <w:rsid w:val="006F28C5"/>
    <w:rsid w:val="00756616"/>
    <w:rsid w:val="00767B33"/>
    <w:rsid w:val="00771757"/>
    <w:rsid w:val="00774831"/>
    <w:rsid w:val="00774C33"/>
    <w:rsid w:val="00781CD6"/>
    <w:rsid w:val="00793071"/>
    <w:rsid w:val="007B6FC8"/>
    <w:rsid w:val="007D0775"/>
    <w:rsid w:val="007F4EDE"/>
    <w:rsid w:val="007F67E0"/>
    <w:rsid w:val="008043E6"/>
    <w:rsid w:val="00813A5A"/>
    <w:rsid w:val="00842821"/>
    <w:rsid w:val="00842C32"/>
    <w:rsid w:val="008459D0"/>
    <w:rsid w:val="008617F4"/>
    <w:rsid w:val="0089022B"/>
    <w:rsid w:val="00894826"/>
    <w:rsid w:val="00896BDF"/>
    <w:rsid w:val="008A6BFD"/>
    <w:rsid w:val="008E166E"/>
    <w:rsid w:val="008E4D2A"/>
    <w:rsid w:val="00942069"/>
    <w:rsid w:val="00951B6D"/>
    <w:rsid w:val="009632C5"/>
    <w:rsid w:val="00973B59"/>
    <w:rsid w:val="00973C41"/>
    <w:rsid w:val="009A3FB6"/>
    <w:rsid w:val="009C3BC8"/>
    <w:rsid w:val="009D1CEF"/>
    <w:rsid w:val="009D4B55"/>
    <w:rsid w:val="009E49EC"/>
    <w:rsid w:val="00A00C6F"/>
    <w:rsid w:val="00A24265"/>
    <w:rsid w:val="00A263EE"/>
    <w:rsid w:val="00A2709C"/>
    <w:rsid w:val="00A3122A"/>
    <w:rsid w:val="00A63F31"/>
    <w:rsid w:val="00AA632D"/>
    <w:rsid w:val="00AD47ED"/>
    <w:rsid w:val="00AD691B"/>
    <w:rsid w:val="00AE09DC"/>
    <w:rsid w:val="00AE3B1F"/>
    <w:rsid w:val="00B00EEB"/>
    <w:rsid w:val="00B17D03"/>
    <w:rsid w:val="00B21DA2"/>
    <w:rsid w:val="00B361F1"/>
    <w:rsid w:val="00B469D6"/>
    <w:rsid w:val="00B5659A"/>
    <w:rsid w:val="00B6052F"/>
    <w:rsid w:val="00B67DF6"/>
    <w:rsid w:val="00B93C2D"/>
    <w:rsid w:val="00BA7765"/>
    <w:rsid w:val="00BD3767"/>
    <w:rsid w:val="00BE47A8"/>
    <w:rsid w:val="00C04CB7"/>
    <w:rsid w:val="00C07F9E"/>
    <w:rsid w:val="00C1298E"/>
    <w:rsid w:val="00C252BA"/>
    <w:rsid w:val="00C30513"/>
    <w:rsid w:val="00C37574"/>
    <w:rsid w:val="00C40B09"/>
    <w:rsid w:val="00C45E6F"/>
    <w:rsid w:val="00C53160"/>
    <w:rsid w:val="00C64F02"/>
    <w:rsid w:val="00C74D82"/>
    <w:rsid w:val="00CA667A"/>
    <w:rsid w:val="00CB2404"/>
    <w:rsid w:val="00CB29EB"/>
    <w:rsid w:val="00CF4809"/>
    <w:rsid w:val="00D1147C"/>
    <w:rsid w:val="00D27E51"/>
    <w:rsid w:val="00D365BE"/>
    <w:rsid w:val="00D36C91"/>
    <w:rsid w:val="00D43C14"/>
    <w:rsid w:val="00D53DD3"/>
    <w:rsid w:val="00D65B2B"/>
    <w:rsid w:val="00D6684B"/>
    <w:rsid w:val="00D741F0"/>
    <w:rsid w:val="00D90293"/>
    <w:rsid w:val="00D97AFA"/>
    <w:rsid w:val="00DF2E9C"/>
    <w:rsid w:val="00E034BF"/>
    <w:rsid w:val="00E13536"/>
    <w:rsid w:val="00E1467F"/>
    <w:rsid w:val="00E35BEF"/>
    <w:rsid w:val="00E4765E"/>
    <w:rsid w:val="00E8084F"/>
    <w:rsid w:val="00EB0BAA"/>
    <w:rsid w:val="00EB6136"/>
    <w:rsid w:val="00EB7D65"/>
    <w:rsid w:val="00EC47D8"/>
    <w:rsid w:val="00EC7B78"/>
    <w:rsid w:val="00EE28F5"/>
    <w:rsid w:val="00EF36E0"/>
    <w:rsid w:val="00F10709"/>
    <w:rsid w:val="00F134A2"/>
    <w:rsid w:val="00F203B0"/>
    <w:rsid w:val="00F25927"/>
    <w:rsid w:val="00F276FA"/>
    <w:rsid w:val="00F43459"/>
    <w:rsid w:val="00F54A8F"/>
    <w:rsid w:val="00F71691"/>
    <w:rsid w:val="00F771A8"/>
    <w:rsid w:val="00F93EBA"/>
    <w:rsid w:val="00F96F00"/>
    <w:rsid w:val="00FA0DBB"/>
    <w:rsid w:val="00FA25FD"/>
    <w:rsid w:val="00FA56D5"/>
    <w:rsid w:val="00FA6960"/>
    <w:rsid w:val="00FB329D"/>
    <w:rsid w:val="00FC2E8D"/>
    <w:rsid w:val="00FC3EE2"/>
    <w:rsid w:val="00FE081D"/>
    <w:rsid w:val="00FF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448">
      <w:bodyDiv w:val="1"/>
      <w:marLeft w:val="0"/>
      <w:marRight w:val="0"/>
      <w:marTop w:val="0"/>
      <w:marBottom w:val="0"/>
      <w:divBdr>
        <w:top w:val="none" w:sz="0" w:space="0" w:color="auto"/>
        <w:left w:val="none" w:sz="0" w:space="0" w:color="auto"/>
        <w:bottom w:val="none" w:sz="0" w:space="0" w:color="auto"/>
        <w:right w:val="none" w:sz="0" w:space="0" w:color="auto"/>
      </w:divBdr>
    </w:div>
    <w:div w:id="9912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7" Type="http://schemas.openxmlformats.org/officeDocument/2006/relationships/hyperlink" Target="https://www.surveymonkey.com/results/SM-FBQL8F5H8/"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6" Type="http://schemas.openxmlformats.org/officeDocument/2006/relationships/hyperlink" Target="https://stateimpact.npr.org/florida/2013/03/19/why-florida-colleges-include-nursing-as-a-stem-job/" TargetMode="External"/><Relationship Id="rId5" Type="http://schemas.openxmlformats.org/officeDocument/2006/relationships/hyperlink" Target="https://en.wikipedia.org/w/index.php?title=Status_quo_bias&amp;oldid=829487998" TargetMode="External"/><Relationship Id="rId4" Type="http://schemas.openxmlformats.org/officeDocument/2006/relationships/hyperlink" Target="https://en.wikipedia.org/w/index.php?title=Pro-innovation_bias&amp;oldid=80664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54C46-3F0F-4EE7-A301-56EC7D38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9</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172</cp:revision>
  <dcterms:created xsi:type="dcterms:W3CDTF">2018-03-18T20:35:00Z</dcterms:created>
  <dcterms:modified xsi:type="dcterms:W3CDTF">2018-04-15T22:09:00Z</dcterms:modified>
</cp:coreProperties>
</file>