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0E23787B"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 xml:space="preserve">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w:t>
      </w:r>
      <w:r>
        <w:lastRenderedPageBreak/>
        <w:t>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lastRenderedPageBreak/>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658C65A9" w:rsidR="008379FC" w:rsidRPr="00195E4E" w:rsidRDefault="008379FC" w:rsidP="008379FC">
      <w:pPr>
        <w:rPr>
          <w:b/>
        </w:rPr>
      </w:pPr>
      <w:r>
        <w:rPr>
          <w:b/>
        </w:rPr>
        <w:t xml:space="preserve">Table </w:t>
      </w:r>
      <w:r w:rsidR="0062742B">
        <w:rPr>
          <w:b/>
        </w:rPr>
        <w:t>3</w:t>
      </w:r>
      <w:r>
        <w:rPr>
          <w:b/>
        </w:rPr>
        <w:t xml:space="preserve"> – Cross Tab VOI by is2018LongModelResponse</w:t>
      </w:r>
    </w:p>
    <w:p w14:paraId="7561477D" w14:textId="1C89EF6C" w:rsidR="008379FC" w:rsidRDefault="00FF02AB" w:rsidP="008379FC">
      <w:r>
        <w:rPr>
          <w:noProof/>
        </w:rPr>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xml:space="preserve">.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w:t>
      </w:r>
      <w:r w:rsidR="000D78A6">
        <w:lastRenderedPageBreak/>
        <w:t>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31"/>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32"/>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33"/>
      </w:r>
      <w:r w:rsidR="00965ECB">
        <w:t xml:space="preserve">, so individuals seeking to </w:t>
      </w:r>
      <w:r w:rsidR="00965ECB">
        <w:lastRenderedPageBreak/>
        <w:t>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34"/>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lastRenderedPageBreak/>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w:t>
      </w:r>
      <w:r w:rsidR="006254C1">
        <w:lastRenderedPageBreak/>
        <w:t>approaches with respect to the variables in question. Expected conventionality is not binary, but transformation of this variable is possible to allow logistic regression to model a sigmoid</w:t>
      </w:r>
      <w:r w:rsidR="006254C1">
        <w:rPr>
          <w:rStyle w:val="FootnoteReference"/>
        </w:rPr>
        <w:footnoteReference w:id="35"/>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36"/>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37"/>
      </w:r>
      <w:r w:rsidR="00C8272C">
        <w:t xml:space="preserve">. </w:t>
      </w:r>
      <w:r w:rsidR="00C206F0">
        <w:t>Let X represent expected conventionality, then</w:t>
      </w:r>
      <w:r w:rsidR="00C8272C">
        <w:t xml:space="preserve"> two-factor model takes the form</w:t>
      </w:r>
      <w:r w:rsidR="0023699A">
        <w:rPr>
          <w:rStyle w:val="FootnoteReference"/>
        </w:rPr>
        <w:footnoteReference w:id="38"/>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lastRenderedPageBreak/>
        <w:t>A three-factor exponential expansion obtains an r-squared of .2621</w:t>
      </w:r>
      <w:r w:rsidR="00914E57">
        <w:rPr>
          <w:rStyle w:val="FootnoteReference"/>
        </w:rPr>
        <w:footnoteReference w:id="39"/>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w:t>
      </w:r>
      <w:r>
        <w:t xml:space="preserve"> normalization of alternative credentials </w:t>
      </w:r>
      <w:r>
        <w:t>as</w:t>
      </w:r>
      <w:r>
        <w:t xml:space="preserve"> a mechanism toward eventual recovery in entry-level suitability</w:t>
      </w:r>
      <w:r>
        <w:t>.</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4984180E" w14:textId="6B9B9C16" w:rsidR="00EB3C48" w:rsidRDefault="005578FB" w:rsidP="00EB3C48">
      <w:r>
        <w:lastRenderedPageBreak/>
        <w:t>Previous research found student indifference toward debt</w:t>
      </w:r>
      <w:r>
        <w:rPr>
          <w:rStyle w:val="FootnoteReference"/>
        </w:rPr>
        <w:footnoteReference w:id="40"/>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60E34F8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Tables 4 and 5</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w:t>
      </w:r>
      <w:r>
        <w:t xml:space="preserve">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633BC2AA" w:rsidR="003257B4" w:rsidRDefault="003257B4" w:rsidP="00136C1A">
      <w:r>
        <w:t>Plausible explanations for elderly favorability include memory of a time before the 1980s when a degree wasn’t as essential</w:t>
      </w:r>
      <w:r w:rsidR="008B66FC">
        <w:t xml:space="preserve">. These individuals have also often obtained a degree and worked for a substantial amount of time, and they may have noticed only a small attainment of job-related skills from the </w:t>
      </w:r>
      <w:r w:rsidR="008B66FC">
        <w:lastRenderedPageBreak/>
        <w:t>degree. Younger individuals may have a lack of skin in the game and a longer time horizon for repayment.</w:t>
      </w:r>
    </w:p>
    <w:p w14:paraId="2B3DF5E3" w14:textId="77777777" w:rsidR="00E42E89" w:rsidRDefault="00E42E89" w:rsidP="005578FB"/>
    <w:p w14:paraId="1CE15212" w14:textId="12233D4F" w:rsidR="00E42E89" w:rsidRDefault="0062742B" w:rsidP="00E42E89">
      <w:pPr>
        <w:rPr>
          <w:b/>
        </w:rPr>
      </w:pPr>
      <w:r>
        <w:rPr>
          <w:b/>
        </w:rPr>
        <w:t>Table 4</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2B74A21B" w:rsidR="0062742B" w:rsidRPr="0062742B" w:rsidRDefault="0062742B" w:rsidP="005578FB">
      <w:pPr>
        <w:rPr>
          <w:b/>
        </w:rPr>
      </w:pPr>
      <w:r w:rsidRPr="0062742B">
        <w:rPr>
          <w:b/>
        </w:rPr>
        <w:t>Table 5</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4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4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43"/>
      </w:r>
      <w:r w:rsidR="00C07CBD">
        <w:t>. Years later, in 2018, a well-known salary aggregator called Glassdoor reported on 15 major companies, including Google, which no longer required a degree</w:t>
      </w:r>
      <w:r w:rsidR="00C07CBD">
        <w:rPr>
          <w:rStyle w:val="FootnoteReference"/>
        </w:rPr>
        <w:footnoteReference w:id="4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4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44D139B7"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77E92FAC" w14:textId="77777777" w:rsidR="009D4990" w:rsidRDefault="009D4990" w:rsidP="00A92670"/>
    <w:p w14:paraId="7DE1AC52" w14:textId="5CC46E5D" w:rsidR="009D4990" w:rsidRDefault="001C7557" w:rsidP="00A92670">
      <w:r>
        <w:t>***</w:t>
      </w:r>
      <w:r w:rsidR="002308B1">
        <w:t xml:space="preserve"> TODO</w:t>
      </w:r>
      <w:bookmarkStart w:id="0" w:name="_GoBack"/>
      <w:bookmarkEnd w:id="0"/>
    </w:p>
    <w:p w14:paraId="5048EA60" w14:textId="77777777" w:rsidR="001C7557" w:rsidRDefault="00DB18CE" w:rsidP="001C7557">
      <w:pPr>
        <w:pStyle w:val="ListParagraph"/>
        <w:numPr>
          <w:ilvl w:val="0"/>
          <w:numId w:val="13"/>
        </w:numPr>
      </w:pPr>
      <w:r>
        <w:t>Need to write about Zuckerberg online education story and other opposition to digital, MOOC, etc. consideration about lab classes,</w:t>
      </w:r>
      <w:r w:rsidR="008C4D58">
        <w:t xml:space="preserve"> </w:t>
      </w:r>
      <w:r>
        <w:t>etc.</w:t>
      </w:r>
    </w:p>
    <w:p w14:paraId="00047567" w14:textId="4C233349" w:rsidR="002B0EA9" w:rsidRDefault="002B0EA9" w:rsidP="001C7557">
      <w:pPr>
        <w:pStyle w:val="ListParagraph"/>
        <w:numPr>
          <w:ilvl w:val="0"/>
          <w:numId w:val="13"/>
        </w:numPr>
      </w:pPr>
      <w:r w:rsidRPr="002B0EA9">
        <w:t>add a short history of alternative education to section 2.</w:t>
      </w:r>
    </w:p>
    <w:p w14:paraId="7D734345" w14:textId="41584360" w:rsidR="00C96BDD" w:rsidRDefault="00C96BDD" w:rsidP="001C7557">
      <w:pPr>
        <w:pStyle w:val="ListParagraph"/>
        <w:numPr>
          <w:ilvl w:val="0"/>
          <w:numId w:val="13"/>
        </w:numPr>
      </w:pPr>
      <w:r>
        <w:lastRenderedPageBreak/>
        <w:t>Table of models, prefer 2019 maximum adjusted r-squared model, discuss q-complexity and importance of the weak model.</w:t>
      </w:r>
    </w:p>
    <w:p w14:paraId="721D8FBD" w14:textId="3CC3D302" w:rsidR="00C96BDD" w:rsidRDefault="00C96BDD" w:rsidP="001C7557">
      <w:pPr>
        <w:pStyle w:val="ListParagraph"/>
        <w:numPr>
          <w:ilvl w:val="0"/>
          <w:numId w:val="13"/>
        </w:numPr>
      </w:pPr>
      <w:r>
        <w:t>Add summary-statistics to appendix.</w:t>
      </w:r>
    </w:p>
    <w:p w14:paraId="3F82BB82" w14:textId="639D80B3" w:rsidR="00C96BDD" w:rsidRDefault="00C96BDD" w:rsidP="001C7557">
      <w:pPr>
        <w:pStyle w:val="ListParagraph"/>
        <w:numPr>
          <w:ilvl w:val="0"/>
          <w:numId w:val="13"/>
        </w:numPr>
      </w:pPr>
      <w:r>
        <w:t>Give it a day</w:t>
      </w:r>
      <w:r w:rsidR="005E73E4">
        <w:t xml:space="preserve"> to breathe</w:t>
      </w:r>
      <w:r>
        <w:t>, then fire it out to Caplan et al!</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r>
      <w:r>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95633" w14:textId="77777777" w:rsidR="00C352F6" w:rsidRDefault="00C352F6" w:rsidP="00BA4695">
      <w:pPr>
        <w:spacing w:after="0" w:line="240" w:lineRule="auto"/>
      </w:pPr>
      <w:r>
        <w:separator/>
      </w:r>
    </w:p>
  </w:endnote>
  <w:endnote w:type="continuationSeparator" w:id="0">
    <w:p w14:paraId="33D54C98" w14:textId="77777777" w:rsidR="00C352F6" w:rsidRDefault="00C352F6"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4A38" w14:textId="77777777" w:rsidR="00C352F6" w:rsidRDefault="00C352F6" w:rsidP="00BA4695">
      <w:pPr>
        <w:spacing w:after="0" w:line="240" w:lineRule="auto"/>
      </w:pPr>
      <w:r>
        <w:separator/>
      </w:r>
    </w:p>
  </w:footnote>
  <w:footnote w:type="continuationSeparator" w:id="0">
    <w:p w14:paraId="1D38BD10" w14:textId="77777777" w:rsidR="00C352F6" w:rsidRDefault="00C352F6" w:rsidP="00BA4695">
      <w:pPr>
        <w:spacing w:after="0" w:line="240" w:lineRule="auto"/>
      </w:pPr>
      <w:r>
        <w:continuationSeparator/>
      </w:r>
    </w:p>
  </w:footnote>
  <w:footnote w:id="1">
    <w:p w14:paraId="204795CE" w14:textId="313FF727" w:rsidR="009A74F3" w:rsidRDefault="009A74F3">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9A74F3" w:rsidRDefault="009A74F3">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9A74F3" w:rsidRDefault="009A74F3">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9A74F3" w:rsidRDefault="009A74F3">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9A74F3" w:rsidRPr="0069539E" w:rsidRDefault="009A74F3">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9A74F3" w:rsidRDefault="009A74F3">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9A74F3" w:rsidRDefault="009A74F3">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9A74F3" w:rsidRDefault="009A74F3">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9A74F3" w:rsidRDefault="009A74F3"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9A74F3" w:rsidRDefault="009A74F3">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9A74F3" w:rsidRPr="002C3BC9" w:rsidRDefault="009A74F3">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9A74F3" w:rsidRDefault="009A74F3"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9A74F3" w:rsidRDefault="009A74F3"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9A74F3" w:rsidRDefault="009A74F3"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9A74F3" w:rsidRDefault="009A74F3"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9A74F3" w:rsidRDefault="009A74F3">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9A74F3" w:rsidRDefault="009A74F3"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9A74F3" w:rsidRDefault="009A74F3"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9A74F3" w:rsidRDefault="009A74F3"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9A74F3" w:rsidRDefault="009A74F3"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9A74F3" w:rsidRDefault="009A74F3"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9A74F3" w:rsidRDefault="009A74F3">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9A74F3" w:rsidRDefault="009A74F3">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9A74F3" w:rsidRDefault="009A74F3">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9A74F3" w:rsidRDefault="009A74F3">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9A74F3" w:rsidRDefault="009A74F3">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9A74F3" w:rsidRDefault="009A74F3">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9A74F3" w:rsidRDefault="009A74F3"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9A74F3" w:rsidRDefault="009A74F3">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9A74F3" w:rsidRDefault="009A74F3">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62D8463B" w14:textId="6C00EAE6" w:rsidR="009A74F3" w:rsidRPr="00446D1E" w:rsidRDefault="009A74F3">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32">
    <w:p w14:paraId="6BC219EC" w14:textId="313FD15F" w:rsidR="009A74F3" w:rsidRDefault="009A74F3">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33">
    <w:p w14:paraId="401113BE" w14:textId="62A61194" w:rsidR="009A74F3" w:rsidRDefault="009A74F3">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34">
    <w:p w14:paraId="58779EC6" w14:textId="6ED79913" w:rsidR="009A74F3" w:rsidRDefault="009A74F3">
      <w:pPr>
        <w:pStyle w:val="FootnoteText"/>
      </w:pPr>
      <w:r>
        <w:rPr>
          <w:rStyle w:val="FootnoteReference"/>
        </w:rPr>
        <w:footnoteRef/>
      </w:r>
      <w:r>
        <w:t xml:space="preserve"> </w:t>
      </w:r>
      <w:r w:rsidRPr="006F0B6B">
        <w:t>https://factfinder.census.gov/help/en/division.htm</w:t>
      </w:r>
    </w:p>
  </w:footnote>
  <w:footnote w:id="35">
    <w:p w14:paraId="7A891476" w14:textId="6398F997" w:rsidR="009A74F3" w:rsidRDefault="009A74F3">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36">
    <w:p w14:paraId="0743F693" w14:textId="78B24FE0" w:rsidR="003E5B93" w:rsidRDefault="003E5B93">
      <w:pPr>
        <w:pStyle w:val="FootnoteText"/>
      </w:pPr>
      <w:r>
        <w:rPr>
          <w:rStyle w:val="FootnoteReference"/>
        </w:rPr>
        <w:footnoteRef/>
      </w:r>
      <w:r>
        <w:t xml:space="preserve"> </w:t>
      </w:r>
      <w:r>
        <w:t>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37">
    <w:p w14:paraId="37C1849A" w14:textId="6A91F0A7" w:rsidR="00C8272C" w:rsidRDefault="00C8272C">
      <w:pPr>
        <w:pStyle w:val="FootnoteText"/>
      </w:pPr>
      <w:r>
        <w:rPr>
          <w:rStyle w:val="FootnoteReference"/>
        </w:rPr>
        <w:footnoteRef/>
      </w:r>
      <w:r>
        <w:t xml:space="preserve"> </w:t>
      </w:r>
      <w:r w:rsidR="003E5B93">
        <w:t>Technically, this regression is executed in STATA with the syntax `</w:t>
      </w:r>
      <w:r w:rsidR="003E5B93" w:rsidRPr="003E5B93">
        <w:t xml:space="preserve"> </w:t>
      </w:r>
      <w:proofErr w:type="spellStart"/>
      <w:r w:rsidR="003E5B93" w:rsidRPr="003E5B93">
        <w:t>nl</w:t>
      </w:r>
      <w:proofErr w:type="spellEnd"/>
      <w:r w:rsidR="003E5B93" w:rsidRPr="003E5B93">
        <w:t xml:space="preserve"> (</w:t>
      </w:r>
      <w:proofErr w:type="spellStart"/>
      <w:r w:rsidR="003E5B93" w:rsidRPr="003E5B93">
        <w:t>voi</w:t>
      </w:r>
      <w:proofErr w:type="spellEnd"/>
      <w:r w:rsidR="003E5B93" w:rsidRPr="003E5B93">
        <w:t xml:space="preserve"> = {b</w:t>
      </w:r>
      <w:proofErr w:type="gramStart"/>
      <w:r w:rsidR="003E5B93" w:rsidRPr="003E5B93">
        <w:t>0}*</w:t>
      </w:r>
      <w:proofErr w:type="gramEnd"/>
      <w:r w:rsidR="003E5B93" w:rsidRPr="003E5B93">
        <w:t>(exp({b1}*nvoifconventionalsoon1)))</w:t>
      </w:r>
      <w:r w:rsidR="003E5B93">
        <w:t>`.</w:t>
      </w:r>
    </w:p>
  </w:footnote>
  <w:footnote w:id="38">
    <w:p w14:paraId="0824AC56" w14:textId="3AA17BCD" w:rsidR="0023699A" w:rsidRDefault="0023699A">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39">
    <w:p w14:paraId="1E891D8D" w14:textId="3A297EA7" w:rsidR="00914E57" w:rsidRDefault="00914E57">
      <w:pPr>
        <w:pStyle w:val="FootnoteText"/>
      </w:pPr>
      <w:r>
        <w:rPr>
          <w:rStyle w:val="FootnoteReference"/>
        </w:rPr>
        <w:footnoteRef/>
      </w:r>
      <w:r>
        <w:t xml:space="preserve"> </w:t>
      </w:r>
      <w:r>
        <w:t>Technically, this regression is executed in STATA with the syntax</w:t>
      </w:r>
      <w:r>
        <w:t xml:space="preserve"> `</w:t>
      </w:r>
      <w:proofErr w:type="spellStart"/>
      <w:r w:rsidR="00D426A7" w:rsidRPr="00D426A7">
        <w:t>nl</w:t>
      </w:r>
      <w:proofErr w:type="spellEnd"/>
      <w:r w:rsidR="00D426A7" w:rsidRPr="00D426A7">
        <w:t xml:space="preserve"> (</w:t>
      </w:r>
      <w:proofErr w:type="spellStart"/>
      <w:r w:rsidR="00D426A7" w:rsidRPr="00D426A7">
        <w:t>voi</w:t>
      </w:r>
      <w:proofErr w:type="spellEnd"/>
      <w:r w:rsidR="00D426A7" w:rsidRPr="00D426A7">
        <w:t xml:space="preserve"> = {b</w:t>
      </w:r>
      <w:proofErr w:type="gramStart"/>
      <w:r w:rsidR="00D426A7" w:rsidRPr="00D426A7">
        <w:t>1}+</w:t>
      </w:r>
      <w:proofErr w:type="gramEnd"/>
      <w:r w:rsidR="00D426A7" w:rsidRPr="00D426A7">
        <w:t>{b2=2}*(exp({b3=0.1}*nvoifconventionalsoon1)))</w:t>
      </w:r>
      <w:r w:rsidR="00D426A7">
        <w:t>`.</w:t>
      </w:r>
    </w:p>
  </w:footnote>
  <w:footnote w:id="40">
    <w:p w14:paraId="7B10BC84" w14:textId="77777777" w:rsidR="009A74F3" w:rsidRDefault="009A74F3"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41">
    <w:p w14:paraId="60870664" w14:textId="6FAFA444" w:rsidR="009A74F3" w:rsidRDefault="009A74F3">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42">
    <w:p w14:paraId="70B3A3E7" w14:textId="5E04B031" w:rsidR="009A74F3" w:rsidRDefault="009A74F3">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43">
    <w:p w14:paraId="0FCC2205" w14:textId="5AC36645" w:rsidR="009A74F3" w:rsidRDefault="009A74F3">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44">
    <w:p w14:paraId="7AF6A53C" w14:textId="1DF57D02" w:rsidR="009A74F3" w:rsidRDefault="009A74F3">
      <w:pPr>
        <w:pStyle w:val="FootnoteText"/>
      </w:pPr>
      <w:r>
        <w:rPr>
          <w:rStyle w:val="FootnoteReference"/>
        </w:rPr>
        <w:footnoteRef/>
      </w:r>
      <w:r>
        <w:t xml:space="preserve"> </w:t>
      </w:r>
      <w:hyperlink r:id="rId27" w:history="1">
        <w:r>
          <w:rPr>
            <w:rStyle w:val="Hyperlink"/>
          </w:rPr>
          <w:t>https://www.glassdoor.com/blog/no-degree-required/</w:t>
        </w:r>
      </w:hyperlink>
    </w:p>
  </w:footnote>
  <w:footnote w:id="45">
    <w:p w14:paraId="0AF8BEF4" w14:textId="1D122010" w:rsidR="009A74F3" w:rsidRDefault="009A74F3">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12"/>
  </w:num>
  <w:num w:numId="6">
    <w:abstractNumId w:val="5"/>
  </w:num>
  <w:num w:numId="7">
    <w:abstractNumId w:val="8"/>
  </w:num>
  <w:num w:numId="8">
    <w:abstractNumId w:val="6"/>
  </w:num>
  <w:num w:numId="9">
    <w:abstractNumId w:val="3"/>
  </w:num>
  <w:num w:numId="10">
    <w:abstractNumId w:val="0"/>
  </w:num>
  <w:num w:numId="11">
    <w:abstractNumId w:val="7"/>
  </w:num>
  <w:num w:numId="12">
    <w:abstractNumId w:val="1"/>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0063"/>
    <w:rsid w:val="00031540"/>
    <w:rsid w:val="0004056A"/>
    <w:rsid w:val="00045C2D"/>
    <w:rsid w:val="000513FB"/>
    <w:rsid w:val="0005508F"/>
    <w:rsid w:val="00056CB3"/>
    <w:rsid w:val="00063334"/>
    <w:rsid w:val="00064A80"/>
    <w:rsid w:val="00070899"/>
    <w:rsid w:val="00073295"/>
    <w:rsid w:val="0008515F"/>
    <w:rsid w:val="000A052A"/>
    <w:rsid w:val="000A37DE"/>
    <w:rsid w:val="000A6957"/>
    <w:rsid w:val="000A704E"/>
    <w:rsid w:val="000A74DC"/>
    <w:rsid w:val="000A7F62"/>
    <w:rsid w:val="000B0CDB"/>
    <w:rsid w:val="000B4103"/>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5404"/>
    <w:rsid w:val="00157364"/>
    <w:rsid w:val="00162BB2"/>
    <w:rsid w:val="0017168D"/>
    <w:rsid w:val="00177890"/>
    <w:rsid w:val="00177F56"/>
    <w:rsid w:val="00187B28"/>
    <w:rsid w:val="00193632"/>
    <w:rsid w:val="00195E4E"/>
    <w:rsid w:val="00197123"/>
    <w:rsid w:val="00197228"/>
    <w:rsid w:val="00197DDB"/>
    <w:rsid w:val="001C4321"/>
    <w:rsid w:val="001C72B5"/>
    <w:rsid w:val="001C7557"/>
    <w:rsid w:val="001D1829"/>
    <w:rsid w:val="001D1AF1"/>
    <w:rsid w:val="001D27AC"/>
    <w:rsid w:val="001E666F"/>
    <w:rsid w:val="001E754D"/>
    <w:rsid w:val="001F109D"/>
    <w:rsid w:val="002037BD"/>
    <w:rsid w:val="002063F1"/>
    <w:rsid w:val="00206D2C"/>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045F"/>
    <w:rsid w:val="002A7921"/>
    <w:rsid w:val="002B0EA9"/>
    <w:rsid w:val="002C0A73"/>
    <w:rsid w:val="002C1BD1"/>
    <w:rsid w:val="002C1FAC"/>
    <w:rsid w:val="002C20C7"/>
    <w:rsid w:val="002C3557"/>
    <w:rsid w:val="002C3BC9"/>
    <w:rsid w:val="002C418E"/>
    <w:rsid w:val="002C50B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5421A"/>
    <w:rsid w:val="00366483"/>
    <w:rsid w:val="00371A28"/>
    <w:rsid w:val="00373589"/>
    <w:rsid w:val="00380F7D"/>
    <w:rsid w:val="003847B1"/>
    <w:rsid w:val="003919BE"/>
    <w:rsid w:val="003945BA"/>
    <w:rsid w:val="00394E5E"/>
    <w:rsid w:val="00396DE0"/>
    <w:rsid w:val="003A01D9"/>
    <w:rsid w:val="003A030A"/>
    <w:rsid w:val="003A2A09"/>
    <w:rsid w:val="003A65BE"/>
    <w:rsid w:val="003B0D58"/>
    <w:rsid w:val="003B18E2"/>
    <w:rsid w:val="003B43BE"/>
    <w:rsid w:val="003B6241"/>
    <w:rsid w:val="003C01CB"/>
    <w:rsid w:val="003C7E93"/>
    <w:rsid w:val="003D2371"/>
    <w:rsid w:val="003D4BB7"/>
    <w:rsid w:val="003E190D"/>
    <w:rsid w:val="003E5AFE"/>
    <w:rsid w:val="003E5B93"/>
    <w:rsid w:val="003F0E6B"/>
    <w:rsid w:val="003F737C"/>
    <w:rsid w:val="00401C6A"/>
    <w:rsid w:val="004071D4"/>
    <w:rsid w:val="0041092A"/>
    <w:rsid w:val="00420B1D"/>
    <w:rsid w:val="00421CE5"/>
    <w:rsid w:val="0042617D"/>
    <w:rsid w:val="00427E0C"/>
    <w:rsid w:val="00432011"/>
    <w:rsid w:val="0043244A"/>
    <w:rsid w:val="00442722"/>
    <w:rsid w:val="00446D1E"/>
    <w:rsid w:val="00447913"/>
    <w:rsid w:val="00452AB4"/>
    <w:rsid w:val="0045425F"/>
    <w:rsid w:val="00460633"/>
    <w:rsid w:val="0046092C"/>
    <w:rsid w:val="00463993"/>
    <w:rsid w:val="00477EDF"/>
    <w:rsid w:val="00480E06"/>
    <w:rsid w:val="00487375"/>
    <w:rsid w:val="00490E70"/>
    <w:rsid w:val="004A0EEF"/>
    <w:rsid w:val="004A34A3"/>
    <w:rsid w:val="004A369B"/>
    <w:rsid w:val="004B100E"/>
    <w:rsid w:val="004C1B7C"/>
    <w:rsid w:val="004C1DA9"/>
    <w:rsid w:val="004C77F1"/>
    <w:rsid w:val="004D6365"/>
    <w:rsid w:val="004E473A"/>
    <w:rsid w:val="004F5A1F"/>
    <w:rsid w:val="004F7939"/>
    <w:rsid w:val="005031DD"/>
    <w:rsid w:val="005136D2"/>
    <w:rsid w:val="00516D3E"/>
    <w:rsid w:val="005316D4"/>
    <w:rsid w:val="00540261"/>
    <w:rsid w:val="00541039"/>
    <w:rsid w:val="005439B5"/>
    <w:rsid w:val="005502CB"/>
    <w:rsid w:val="005564F8"/>
    <w:rsid w:val="0055664F"/>
    <w:rsid w:val="005578FB"/>
    <w:rsid w:val="00577462"/>
    <w:rsid w:val="00580018"/>
    <w:rsid w:val="00585D03"/>
    <w:rsid w:val="00590811"/>
    <w:rsid w:val="00594ABC"/>
    <w:rsid w:val="005A021B"/>
    <w:rsid w:val="005A0B8D"/>
    <w:rsid w:val="005A110D"/>
    <w:rsid w:val="005A28F4"/>
    <w:rsid w:val="005A2D6A"/>
    <w:rsid w:val="005A3DFF"/>
    <w:rsid w:val="005A7E8E"/>
    <w:rsid w:val="005B5F9D"/>
    <w:rsid w:val="005C690B"/>
    <w:rsid w:val="005C7483"/>
    <w:rsid w:val="005D02DC"/>
    <w:rsid w:val="005D7664"/>
    <w:rsid w:val="005E1794"/>
    <w:rsid w:val="005E72A6"/>
    <w:rsid w:val="005E73E4"/>
    <w:rsid w:val="006157AA"/>
    <w:rsid w:val="00621244"/>
    <w:rsid w:val="006240F4"/>
    <w:rsid w:val="006254C1"/>
    <w:rsid w:val="0062742B"/>
    <w:rsid w:val="006278F4"/>
    <w:rsid w:val="00637194"/>
    <w:rsid w:val="006404F5"/>
    <w:rsid w:val="00654F9A"/>
    <w:rsid w:val="00656A49"/>
    <w:rsid w:val="00660771"/>
    <w:rsid w:val="00661C7B"/>
    <w:rsid w:val="00676C3B"/>
    <w:rsid w:val="006778B3"/>
    <w:rsid w:val="0068285B"/>
    <w:rsid w:val="00682A39"/>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05B"/>
    <w:rsid w:val="00734602"/>
    <w:rsid w:val="00756172"/>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B25D6"/>
    <w:rsid w:val="007C589B"/>
    <w:rsid w:val="007D0409"/>
    <w:rsid w:val="007D7223"/>
    <w:rsid w:val="007E106A"/>
    <w:rsid w:val="00800DA4"/>
    <w:rsid w:val="00801667"/>
    <w:rsid w:val="00802CEB"/>
    <w:rsid w:val="008110A8"/>
    <w:rsid w:val="00812D6B"/>
    <w:rsid w:val="00821C46"/>
    <w:rsid w:val="008228EE"/>
    <w:rsid w:val="008379FC"/>
    <w:rsid w:val="00840359"/>
    <w:rsid w:val="00843EA1"/>
    <w:rsid w:val="0084405C"/>
    <w:rsid w:val="00847C06"/>
    <w:rsid w:val="00850B94"/>
    <w:rsid w:val="00852E5B"/>
    <w:rsid w:val="008717FD"/>
    <w:rsid w:val="00876DDB"/>
    <w:rsid w:val="00877DE2"/>
    <w:rsid w:val="00883961"/>
    <w:rsid w:val="00895BA8"/>
    <w:rsid w:val="0089765C"/>
    <w:rsid w:val="008A0804"/>
    <w:rsid w:val="008A317E"/>
    <w:rsid w:val="008A4E2D"/>
    <w:rsid w:val="008A6611"/>
    <w:rsid w:val="008B1E2B"/>
    <w:rsid w:val="008B66FC"/>
    <w:rsid w:val="008C4D58"/>
    <w:rsid w:val="008C6195"/>
    <w:rsid w:val="008D151F"/>
    <w:rsid w:val="008D5DB5"/>
    <w:rsid w:val="008D6C66"/>
    <w:rsid w:val="008D7BD4"/>
    <w:rsid w:val="008F6AC8"/>
    <w:rsid w:val="00906909"/>
    <w:rsid w:val="0091016C"/>
    <w:rsid w:val="00914E57"/>
    <w:rsid w:val="00926CE7"/>
    <w:rsid w:val="0092778F"/>
    <w:rsid w:val="009301EA"/>
    <w:rsid w:val="00930BA8"/>
    <w:rsid w:val="00932C07"/>
    <w:rsid w:val="009410EA"/>
    <w:rsid w:val="00963919"/>
    <w:rsid w:val="00965ECB"/>
    <w:rsid w:val="00967626"/>
    <w:rsid w:val="0097272D"/>
    <w:rsid w:val="00983A3A"/>
    <w:rsid w:val="00985244"/>
    <w:rsid w:val="00986663"/>
    <w:rsid w:val="009915E1"/>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4990"/>
    <w:rsid w:val="009D7959"/>
    <w:rsid w:val="009F1A15"/>
    <w:rsid w:val="009F3A78"/>
    <w:rsid w:val="009F56C5"/>
    <w:rsid w:val="009F71B3"/>
    <w:rsid w:val="009F7F5A"/>
    <w:rsid w:val="00A00792"/>
    <w:rsid w:val="00A05612"/>
    <w:rsid w:val="00A05E6D"/>
    <w:rsid w:val="00A15940"/>
    <w:rsid w:val="00A16AD3"/>
    <w:rsid w:val="00A22ED6"/>
    <w:rsid w:val="00A24683"/>
    <w:rsid w:val="00A42DBD"/>
    <w:rsid w:val="00A4398A"/>
    <w:rsid w:val="00A56187"/>
    <w:rsid w:val="00A5669F"/>
    <w:rsid w:val="00A56786"/>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1076"/>
    <w:rsid w:val="00B25E11"/>
    <w:rsid w:val="00B2741C"/>
    <w:rsid w:val="00B403A6"/>
    <w:rsid w:val="00B4170A"/>
    <w:rsid w:val="00B42493"/>
    <w:rsid w:val="00B433CC"/>
    <w:rsid w:val="00B504F3"/>
    <w:rsid w:val="00B52616"/>
    <w:rsid w:val="00B52B4E"/>
    <w:rsid w:val="00B70C03"/>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6AE5"/>
    <w:rsid w:val="00BD0EBC"/>
    <w:rsid w:val="00BE538A"/>
    <w:rsid w:val="00BE7540"/>
    <w:rsid w:val="00BF34B5"/>
    <w:rsid w:val="00BF3624"/>
    <w:rsid w:val="00BF6EBA"/>
    <w:rsid w:val="00C052D0"/>
    <w:rsid w:val="00C0588F"/>
    <w:rsid w:val="00C07CBD"/>
    <w:rsid w:val="00C206F0"/>
    <w:rsid w:val="00C2176A"/>
    <w:rsid w:val="00C23D29"/>
    <w:rsid w:val="00C24F83"/>
    <w:rsid w:val="00C25514"/>
    <w:rsid w:val="00C31AC9"/>
    <w:rsid w:val="00C31CBC"/>
    <w:rsid w:val="00C32109"/>
    <w:rsid w:val="00C32EBA"/>
    <w:rsid w:val="00C352F6"/>
    <w:rsid w:val="00C40044"/>
    <w:rsid w:val="00C41751"/>
    <w:rsid w:val="00C41FA0"/>
    <w:rsid w:val="00C5681C"/>
    <w:rsid w:val="00C60B5C"/>
    <w:rsid w:val="00C66EF8"/>
    <w:rsid w:val="00C72A1F"/>
    <w:rsid w:val="00C8272C"/>
    <w:rsid w:val="00C85628"/>
    <w:rsid w:val="00C902F9"/>
    <w:rsid w:val="00C96BDD"/>
    <w:rsid w:val="00CA1274"/>
    <w:rsid w:val="00CA4EFA"/>
    <w:rsid w:val="00CB26D5"/>
    <w:rsid w:val="00CB75C8"/>
    <w:rsid w:val="00CC6D85"/>
    <w:rsid w:val="00CC7000"/>
    <w:rsid w:val="00CD0494"/>
    <w:rsid w:val="00CD35C2"/>
    <w:rsid w:val="00CD3A97"/>
    <w:rsid w:val="00CD4008"/>
    <w:rsid w:val="00CD5F7C"/>
    <w:rsid w:val="00CD604D"/>
    <w:rsid w:val="00CE1958"/>
    <w:rsid w:val="00CE37A3"/>
    <w:rsid w:val="00CE4A76"/>
    <w:rsid w:val="00CE5362"/>
    <w:rsid w:val="00CF0B2E"/>
    <w:rsid w:val="00CF0BF5"/>
    <w:rsid w:val="00CF0F35"/>
    <w:rsid w:val="00CF3D1D"/>
    <w:rsid w:val="00CF661F"/>
    <w:rsid w:val="00D03480"/>
    <w:rsid w:val="00D12B04"/>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2D82"/>
    <w:rsid w:val="00D94F0E"/>
    <w:rsid w:val="00D9703E"/>
    <w:rsid w:val="00DB18CE"/>
    <w:rsid w:val="00DB2491"/>
    <w:rsid w:val="00DB26C3"/>
    <w:rsid w:val="00DC3918"/>
    <w:rsid w:val="00DC6568"/>
    <w:rsid w:val="00DC7144"/>
    <w:rsid w:val="00DC748F"/>
    <w:rsid w:val="00DD03F5"/>
    <w:rsid w:val="00DD1871"/>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37AF"/>
    <w:rsid w:val="00E40ADF"/>
    <w:rsid w:val="00E42E89"/>
    <w:rsid w:val="00E45A31"/>
    <w:rsid w:val="00E5275F"/>
    <w:rsid w:val="00E53296"/>
    <w:rsid w:val="00E55210"/>
    <w:rsid w:val="00E8241E"/>
    <w:rsid w:val="00E90C4E"/>
    <w:rsid w:val="00EA39C2"/>
    <w:rsid w:val="00EB2C4B"/>
    <w:rsid w:val="00EB3C48"/>
    <w:rsid w:val="00EB52BF"/>
    <w:rsid w:val="00EB6995"/>
    <w:rsid w:val="00EC1E16"/>
    <w:rsid w:val="00EC3861"/>
    <w:rsid w:val="00ED2D8F"/>
    <w:rsid w:val="00ED7898"/>
    <w:rsid w:val="00EE23BE"/>
    <w:rsid w:val="00EF4CF5"/>
    <w:rsid w:val="00EF58F8"/>
    <w:rsid w:val="00F05530"/>
    <w:rsid w:val="00F1049D"/>
    <w:rsid w:val="00F10E8B"/>
    <w:rsid w:val="00F117D9"/>
    <w:rsid w:val="00F23632"/>
    <w:rsid w:val="00F23C2F"/>
    <w:rsid w:val="00F308AB"/>
    <w:rsid w:val="00F31D0C"/>
    <w:rsid w:val="00F35DF8"/>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660A6-0766-4F40-8EDC-9887866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15616</TotalTime>
  <Pages>27</Pages>
  <Words>9408</Words>
  <Characters>53629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398</cp:revision>
  <dcterms:created xsi:type="dcterms:W3CDTF">2019-04-24T02:31:00Z</dcterms:created>
  <dcterms:modified xsi:type="dcterms:W3CDTF">2019-05-11T09:01:00Z</dcterms:modified>
</cp:coreProperties>
</file>