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45C42A6D" w:rsidR="00DF73A2" w:rsidRDefault="003B0D58" w:rsidP="001E666F">
      <w:r>
        <w:t>This paper tests the hypothesis that employers are willing to give on conformity by analyzing attitudinal trends over time. While the managerial attitude is of key interest, the structure of the survey allows for the investigation of many interesting secondary relations.</w:t>
      </w:r>
      <w:r w:rsidR="00E17E53">
        <w:t xml:space="preserve"> </w:t>
      </w:r>
    </w:p>
    <w:p w14:paraId="03654AA6" w14:textId="283C1CDF" w:rsidR="00122F3B" w:rsidRDefault="00122F3B" w:rsidP="00122F3B">
      <w:r>
        <w:t>This paper presents findings in a novel data set on attitudes related to the use of alternative credentials. The first section gives the organization of the paper, the motivation, and the main and secondary hypotheses. The second section adds contextual information to the hypotheses in the form of basic prospective theory. The third section presents findings.</w:t>
      </w:r>
    </w:p>
    <w:p w14:paraId="2BE0293C" w14:textId="63131EA9" w:rsidR="00122F3B" w:rsidRDefault="00122F3B" w:rsidP="00122F3B"/>
    <w:p w14:paraId="0D9A149D" w14:textId="62C9CB4A" w:rsidR="00122F3B" w:rsidRDefault="002E6557" w:rsidP="002E6557">
      <w:pPr>
        <w:pStyle w:val="ListParagraph"/>
        <w:numPr>
          <w:ilvl w:val="0"/>
          <w:numId w:val="1"/>
        </w:numPr>
        <w:rPr>
          <w:b/>
        </w:rPr>
      </w:pPr>
      <w:r>
        <w:rPr>
          <w:b/>
        </w:rPr>
        <w:t>Theory</w:t>
      </w:r>
    </w:p>
    <w:p w14:paraId="2FF02734" w14:textId="50980C35" w:rsidR="00801667" w:rsidRDefault="00801667" w:rsidP="002E6557">
      <w:r>
        <w:t xml:space="preserve">The data presented in the subsequent section focuses on </w:t>
      </w:r>
      <w:r w:rsidR="00EB6995">
        <w:t>the suitability of alternative credentials for employment in an entry level career role. This is a narrow subset of the wide</w:t>
      </w:r>
      <w:r w:rsidR="00BB5152">
        <w:t>r</w:t>
      </w:r>
      <w:r w:rsidR="00EB6995">
        <w:t xml:space="preserve"> research area of alternative education. Alternative education </w:t>
      </w:r>
      <w:r w:rsidR="00516D3E">
        <w:t>consists of three important topics</w:t>
      </w:r>
      <w:r w:rsidR="00EB6995">
        <w:t>: Alternative credentials, alternative pedagogy, and alternative pathways.</w:t>
      </w:r>
      <w:r w:rsidR="0084405C">
        <w:t xml:space="preserve"> Each of these alternative entities is defined by the negation of their traditional counterpart.</w:t>
      </w:r>
    </w:p>
    <w:p w14:paraId="32361949" w14:textId="77777777" w:rsidR="00100062" w:rsidRDefault="00B92C6A" w:rsidP="002E6557">
      <w:r>
        <w:t>Traditions are conceptualized as intertemporal social norms. The maximum socio-temporal space a tradition could occupy would be from the dawn of humankind until today. From this vantage point, postsecondary accreditation is a peculiar and infant approach to learning and education.</w:t>
      </w:r>
      <w:r w:rsidR="00693F49">
        <w:t xml:space="preserve"> </w:t>
      </w:r>
      <w:r w:rsidR="008D7BD4">
        <w:t>Private accrediting agencies began forming in the 1880s, and private accreditation had become a well-</w:t>
      </w:r>
      <w:r w:rsidR="008D7BD4">
        <w:lastRenderedPageBreak/>
        <w:t>established element of the higher education landscape by the 1930s</w:t>
      </w:r>
      <w:r w:rsidR="008D7BD4">
        <w:rPr>
          <w:rStyle w:val="FootnoteReference"/>
        </w:rPr>
        <w:footnoteReference w:id="12"/>
      </w:r>
      <w:r w:rsidR="008D7BD4">
        <w:t>. The G.I. Bill was signed into law in 1944</w:t>
      </w:r>
      <w:r w:rsidR="00A56786">
        <w:rPr>
          <w:rStyle w:val="FootnoteReference"/>
        </w:rPr>
        <w:footnoteReference w:id="13"/>
      </w:r>
      <w:r w:rsidR="008D7BD4">
        <w:t xml:space="preserve">, and </w:t>
      </w:r>
      <w:r w:rsidR="00A56786">
        <w:t>provisions of the bill boosted consumption of higher education. The number of degrees awarded by US colleges and universities more than doubled by 1940 and 1950.</w:t>
      </w:r>
      <w:r w:rsidR="00FB3F95">
        <w:t xml:space="preserve"> The increased consumption of education stimulated the formation of many new colleges, and some of these were “of dubious quality.</w:t>
      </w:r>
      <w:r w:rsidR="00FB3F95">
        <w:rPr>
          <w:rStyle w:val="FootnoteReference"/>
        </w:rPr>
        <w:footnoteReference w:id="14"/>
      </w:r>
      <w:r w:rsidR="00FB3F95">
        <w:t>” In 1952, the G.I. Bill was reauthorized, but this time G.I. Bill educational benefits would only be available for students enrolling at an accredited institution, and the U.S. Commissioner of Education was charged with publishing a list of federally recognized accredited institutions.</w:t>
      </w:r>
    </w:p>
    <w:p w14:paraId="46E42962" w14:textId="15503E1C" w:rsidR="00B92C6A" w:rsidRDefault="00FB3F95" w:rsidP="002E6557">
      <w:r>
        <w:t>Over time, federal recognition criteria became more elaborate. A notable related act would be the 1992 Amendments to the Higher Education Act.</w:t>
      </w:r>
      <w:r w:rsidR="00100062">
        <w:t xml:space="preserve"> Federal lending began in a military-oriented fashion with the </w:t>
      </w:r>
      <w:r w:rsidR="00100062" w:rsidRPr="00100062">
        <w:t>National Defense Education Act</w:t>
      </w:r>
      <w:r w:rsidR="00100062">
        <w:t xml:space="preserve"> of </w:t>
      </w:r>
      <w:r w:rsidR="00100062" w:rsidRPr="00100062">
        <w:t>1958</w:t>
      </w:r>
      <w:r w:rsidR="00100062">
        <w:t xml:space="preserve">, but lending was expanded to the general population with </w:t>
      </w:r>
      <w:r w:rsidR="00100062" w:rsidRPr="00100062">
        <w:t>1965 Higher Education Act</w:t>
      </w:r>
      <w:r w:rsidR="00100062">
        <w:t xml:space="preserve"> and subsequent legislation</w:t>
      </w:r>
      <w:r w:rsidR="008F6AC8">
        <w:rPr>
          <w:rStyle w:val="FootnoteReference"/>
        </w:rPr>
        <w:footnoteReference w:id="15"/>
      </w:r>
      <w:r w:rsidR="00D64322">
        <w:t>, and as earlier noted, Roots and many others identify this legislative trend as essentially causal to our present student debt crisis.</w:t>
      </w:r>
    </w:p>
    <w:p w14:paraId="08D600CB" w14:textId="77777777" w:rsidR="00B10255" w:rsidRDefault="00FB3F95" w:rsidP="002E6557">
      <w:r>
        <w:t xml:space="preserve">This brief history indicates that </w:t>
      </w:r>
      <w:r w:rsidR="00D64322">
        <w:t xml:space="preserve">federal </w:t>
      </w:r>
      <w:r>
        <w:t>postsecondary accreditation is not only a new</w:t>
      </w:r>
      <w:r w:rsidR="00D64322">
        <w:t xml:space="preserve"> human institution, but new in the specific context of the United States as well. It’s true that accreditation in some form has existed since the 1880s, and therefore accreditation can be considered a traditional process in United States education, but there is an important difference between federal and private accreditation. The former form is both causal in the student debt crisis and decidedly less traditional over the course of the totality of American history.</w:t>
      </w:r>
    </w:p>
    <w:p w14:paraId="56FF09D6" w14:textId="1712FFF0" w:rsidR="005C690B" w:rsidRDefault="00D64322" w:rsidP="005C690B">
      <w:r>
        <w:t xml:space="preserve">The point of this exercise is both to familiarize the reader with a bit of relevant history, </w:t>
      </w:r>
      <w:r w:rsidR="00B10255">
        <w:t>and to soften and normalize the vocabulary and topic of the present paper. 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w:t>
      </w:r>
      <w:r w:rsidR="004A34A3">
        <w:t>ituation.</w:t>
      </w:r>
      <w:r w:rsidR="005C690B">
        <w:t xml:space="preserve"> </w:t>
      </w:r>
      <w:r w:rsidR="00B10255">
        <w:t>Obtaining a federally accredited undergraduate degree is a rather new practice</w:t>
      </w:r>
      <w:r w:rsidR="005C690B">
        <w:t>, although we call it a tradition,</w:t>
      </w:r>
      <w:r w:rsidR="00B10255">
        <w:t xml:space="preserve"> </w:t>
      </w:r>
      <w:r w:rsidR="005C690B">
        <w:t>and it</w:t>
      </w:r>
      <w:r w:rsidR="00B10255">
        <w:t xml:space="preserve"> has always been dubiously socially beneficial.</w:t>
      </w:r>
    </w:p>
    <w:p w14:paraId="0B498533" w14:textId="3560117D" w:rsidR="002C0A73" w:rsidRDefault="006778B3" w:rsidP="005C690B">
      <w:r>
        <w:t xml:space="preserve">Traditional education is loosely synonymous with accredited education in the United States, but there are important technical differences. Accredited </w:t>
      </w:r>
      <w:r w:rsidR="0084405C">
        <w:t>credentials in the context of the US include the high school diploma, the accredited undergraduate degree, and an accredited graduate degree</w:t>
      </w:r>
      <w:r>
        <w:t>, but it is nontraditional to pursue education through the graduate level because most Americans don’t do this.</w:t>
      </w:r>
    </w:p>
    <w:p w14:paraId="3788A7B8" w14:textId="352325F8" w:rsidR="00AF7B34" w:rsidRDefault="006778B3" w:rsidP="00AF7B34">
      <w:r>
        <w:t xml:space="preserve">In fact, it’s not </w:t>
      </w:r>
      <w:r w:rsidR="00E337AF">
        <w:t>technically</w:t>
      </w:r>
      <w:r>
        <w:t xml:space="preserve"> traditional to get a college degree. Technically speaking, the American tradition is </w:t>
      </w:r>
      <w:r w:rsidR="00E337AF">
        <w:t xml:space="preserve">to </w:t>
      </w:r>
      <w:r>
        <w:t>enroll in a college degree and never complete the degree.</w:t>
      </w:r>
      <w:r w:rsidR="00656A49">
        <w:t xml:space="preserve">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sidR="00656A49">
        <w:rPr>
          <w:rStyle w:val="FootnoteReference"/>
        </w:rPr>
        <w:footnoteReference w:id="16"/>
      </w:r>
      <w:r w:rsidR="00656A49">
        <w:t>.</w:t>
      </w:r>
      <w:r w:rsidR="00AF7B34" w:rsidRPr="00AF7B34">
        <w:t xml:space="preserve"> </w:t>
      </w:r>
      <w:r w:rsidR="00AF7B34">
        <w:t>Between 1975 and 2011, the immediate college enrollment rate increased from 51 percent to 68 percent.</w:t>
      </w:r>
      <w:r w:rsidR="00AF7B34">
        <w:t xml:space="preserve"> Immediate transition to college has plateaued after the </w:t>
      </w:r>
      <w:r w:rsidR="00AF7B34">
        <w:lastRenderedPageBreak/>
        <w:t xml:space="preserve">turn of the century. </w:t>
      </w:r>
      <w:r w:rsidR="00AF7B34" w:rsidRPr="00AF7B34">
        <w:t>The immediate college enrollment rates for 4-year and for 2-year colleges in 2016 were not measurably different from 2000</w:t>
      </w:r>
      <w:r w:rsidR="00AF7B34">
        <w:rPr>
          <w:rStyle w:val="FootnoteReference"/>
        </w:rPr>
        <w:footnoteReference w:id="17"/>
      </w:r>
      <w:r w:rsidR="00AF7B34" w:rsidRPr="00AF7B34">
        <w:t>.</w:t>
      </w:r>
    </w:p>
    <w:p w14:paraId="5CE85340" w14:textId="77777777" w:rsidR="005A3DFF" w:rsidRDefault="00656A49" w:rsidP="005A3DFF">
      <w:r>
        <w:t xml:space="preserve">Enrolling in college has technically been a tradition since </w:t>
      </w:r>
      <w:proofErr w:type="gramStart"/>
      <w:r w:rsidR="0033286E">
        <w:t>1975, but</w:t>
      </w:r>
      <w:proofErr w:type="gramEnd"/>
      <w:r>
        <w:t xml:space="preserve"> obtaining a degree never has been a tradition</w:t>
      </w:r>
      <w:r w:rsidR="0033286E">
        <w:t xml:space="preserve">. The fact that immediate enrolment has moved from a positive trend to a </w:t>
      </w:r>
      <w:proofErr w:type="gramStart"/>
      <w:r w:rsidR="0033286E">
        <w:t>plateau, and</w:t>
      </w:r>
      <w:proofErr w:type="gramEnd"/>
      <w:r w:rsidR="0033286E">
        <w:t xml:space="preserve"> has been stably flat for more than a decade, casts doubt on a renewal of a positive trend. For the foreseeable future, immediate enrolment will be flat</w:t>
      </w:r>
      <w:r w:rsidR="007E106A">
        <w:t>,</w:t>
      </w:r>
      <w:r w:rsidR="0033286E">
        <w:t xml:space="preserve"> or perhaps </w:t>
      </w:r>
      <w:r w:rsidR="007E106A">
        <w:t xml:space="preserve">see a small </w:t>
      </w:r>
      <w:r w:rsidR="0033286E">
        <w:t>decline.</w:t>
      </w:r>
    </w:p>
    <w:p w14:paraId="51F207E0" w14:textId="55654F0F" w:rsidR="0084405C" w:rsidRDefault="0084405C" w:rsidP="005A3DFF">
      <w:r>
        <w:t xml:space="preserve">In 2016, for example, the percentage of </w:t>
      </w:r>
      <w:r w:rsidRPr="0084405C">
        <w:t>students enrolling in college in the fall immediately following high school completion was 69.8</w:t>
      </w:r>
      <w:r>
        <w:t>%</w:t>
      </w:r>
      <w:r>
        <w:rPr>
          <w:rStyle w:val="FootnoteReference"/>
        </w:rPr>
        <w:footnoteReference w:id="18"/>
      </w:r>
      <w:r>
        <w:t>, but in 2016 the percentage of the adult population with a bachelor’s degree or higher was 33.4%</w:t>
      </w:r>
      <w:r>
        <w:rPr>
          <w:rStyle w:val="FootnoteReference"/>
        </w:rPr>
        <w:footnoteReference w:id="19"/>
      </w:r>
      <w:r>
        <w:t xml:space="preserve"> for “</w:t>
      </w:r>
      <w:r w:rsidRPr="0084405C">
        <w:t>the first time in decades of data</w:t>
      </w:r>
      <w:r>
        <w:t>.”</w:t>
      </w:r>
      <w:r w:rsidR="00371A28">
        <w:t xml:space="preserve"> To reiterate the point, t</w:t>
      </w:r>
      <w:r w:rsidR="00371A28">
        <w:t>he strictly modal pattern of educational attainment would be for an American student to obtain a diploma, enroll in an accredited bachelor’s degree program, and never complete that program</w:t>
      </w:r>
      <w:r w:rsidR="00371A28">
        <w:t>.</w:t>
      </w:r>
    </w:p>
    <w:p w14:paraId="444D9D17" w14:textId="066D9EB6" w:rsidR="00E45A31" w:rsidRDefault="00E45A31" w:rsidP="00371A28">
      <w:r>
        <w:t xml:space="preserve">While the above </w:t>
      </w:r>
      <w:r w:rsidR="00757F70">
        <w:t>describes</w:t>
      </w:r>
      <w:r>
        <w:t xml:space="preserve"> the strictly modal</w:t>
      </w:r>
      <w:r w:rsidR="00757F70">
        <w:t xml:space="preserve"> pattern, enrollment plus noncompletion does not describe the state of being desired by those who enroll. The </w:t>
      </w:r>
      <w:r w:rsidR="00371A28">
        <w:t>desired situation</w:t>
      </w:r>
      <w:r w:rsidR="00757F70">
        <w:t xml:space="preserve"> would be college graduation.</w:t>
      </w:r>
      <w:r w:rsidR="00371A28">
        <w:t xml:space="preserve"> As all ideas are antecedent to action, the desire to complete college is identified as more traditional than the actualization of college completion. This nuance is lost when speaking loosely, and as a result the four-year degree is loosely considered a traditional credential.</w:t>
      </w:r>
      <w:bookmarkStart w:id="0" w:name="_GoBack"/>
      <w:bookmarkEnd w:id="0"/>
    </w:p>
    <w:p w14:paraId="66F9FD21" w14:textId="77777777" w:rsidR="00FB3F95" w:rsidRDefault="00FB3F95" w:rsidP="0084405C"/>
    <w:p w14:paraId="7288CCB7" w14:textId="78174648" w:rsidR="002E6557" w:rsidRDefault="0072566D" w:rsidP="002E6557">
      <w:r>
        <w:t>*another motivation is pay equity and education access; minorities and non-traditional learners (</w:t>
      </w:r>
      <w:r w:rsidR="00064A80">
        <w:t>remember that</w:t>
      </w:r>
      <w:r>
        <w:t xml:space="preserve"> women aren’t a minority) are benefited thru this</w:t>
      </w:r>
    </w:p>
    <w:p w14:paraId="0F179A77" w14:textId="3E2496B1" w:rsidR="00541039" w:rsidRPr="00283992" w:rsidRDefault="00541039" w:rsidP="002E6557">
      <w:r>
        <w:t xml:space="preserve">*it’s worth thinking through other alternative education options: 1) outside of higher ed 2) hybrid higher ed solutions and alt path to traditional cred, </w:t>
      </w:r>
      <w:proofErr w:type="gramStart"/>
      <w:r>
        <w:t>3)considerations</w:t>
      </w:r>
      <w:proofErr w:type="gramEnd"/>
      <w:r>
        <w:t xml:space="preserve"> with online learning</w:t>
      </w:r>
      <w:r w:rsidR="00F05530">
        <w:t>, 4) what about just picking a cheap 4 year school?</w:t>
      </w:r>
      <w:r w:rsidR="00DE15C2">
        <w:t xml:space="preserve"> 5) vocational?</w:t>
      </w:r>
    </w:p>
    <w:p w14:paraId="28BBD86C" w14:textId="20B56557" w:rsidR="00283992" w:rsidRPr="00283992" w:rsidRDefault="00283992" w:rsidP="002E6557"/>
    <w:p w14:paraId="23C3A94A" w14:textId="380ED475" w:rsidR="002E6557" w:rsidRDefault="002E6557" w:rsidP="002E6557">
      <w:pPr>
        <w:pStyle w:val="ListParagraph"/>
        <w:numPr>
          <w:ilvl w:val="0"/>
          <w:numId w:val="1"/>
        </w:numPr>
        <w:rPr>
          <w:b/>
        </w:rPr>
      </w:pPr>
      <w:r>
        <w:rPr>
          <w:b/>
        </w:rPr>
        <w:t>Findings</w:t>
      </w:r>
    </w:p>
    <w:p w14:paraId="2BF95ABB" w14:textId="458C9BEB" w:rsidR="002E6557" w:rsidRDefault="002E6557" w:rsidP="002E6557">
      <w:r>
        <w:t>Previous research found student indifference toward debt</w:t>
      </w:r>
      <w:r w:rsidR="00CB75C8">
        <w:rPr>
          <w:rStyle w:val="FootnoteReference"/>
        </w:rPr>
        <w:footnoteReference w:id="20"/>
      </w:r>
      <w:r w:rsidR="006867A3">
        <w:t xml:space="preserve"> on the part of undergraduate students</w:t>
      </w:r>
      <w:r w:rsidR="00CB75C8">
        <w:t>. The present paper</w:t>
      </w:r>
      <w:r>
        <w:t xml:space="preserve"> replicates and extends </w:t>
      </w:r>
      <w:r w:rsidR="00CB75C8">
        <w:t>such</w:t>
      </w:r>
      <w:r>
        <w:t xml:space="preserve"> </w:t>
      </w:r>
      <w:r w:rsidR="00CB75C8">
        <w:t>findings</w:t>
      </w:r>
      <w:r>
        <w:t xml:space="preserve"> by identifying </w:t>
      </w:r>
      <w:r w:rsidR="00CD4008">
        <w:t xml:space="preserve">generalized </w:t>
      </w:r>
      <w:r>
        <w:t xml:space="preserve">youth antagonism to alternative credentials. </w:t>
      </w:r>
      <w:r w:rsidR="006867A3">
        <w:t xml:space="preserve">The young people I surveyed include young people both within and without college, meaning it is a genuine youth effect and not simply the observation of selection bias among those </w:t>
      </w:r>
      <w:r w:rsidR="009D0865">
        <w:t>undergraduates</w:t>
      </w:r>
      <w:r w:rsidR="006867A3">
        <w:t xml:space="preserve"> who</w:t>
      </w:r>
      <w:r w:rsidR="009D0865">
        <w:t xml:space="preserve"> have</w:t>
      </w:r>
      <w:r w:rsidR="006867A3">
        <w:t xml:space="preserve"> already selected into college education and the associated debt. </w:t>
      </w:r>
      <w:r>
        <w:t xml:space="preserve">Contrary to the </w:t>
      </w:r>
      <w:r w:rsidR="00637194">
        <w:t>stereotype</w:t>
      </w:r>
      <w:r>
        <w:t xml:space="preserv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w:t>
      </w:r>
      <w:r>
        <w:lastRenderedPageBreak/>
        <w:t>before spending such a large chunk of change</w:t>
      </w:r>
      <w:r w:rsidR="00ED2D8F">
        <w:t>. G</w:t>
      </w:r>
      <w:r>
        <w:t xml:space="preserve">randparents and older generations may remember a time when such a credential wasn’t </w:t>
      </w:r>
      <w:r w:rsidR="00056CB3">
        <w:t>needed,</w:t>
      </w:r>
      <w:r>
        <w:t xml:space="preserve"> and society seemed to work quite well.</w:t>
      </w:r>
    </w:p>
    <w:p w14:paraId="0A5EA8BB" w14:textId="6C7BB4DB" w:rsidR="00A92670" w:rsidRDefault="00A92670" w:rsidP="002E6557"/>
    <w:p w14:paraId="60D6307A" w14:textId="2AA86478" w:rsidR="00A92670" w:rsidRDefault="00A92670" w:rsidP="00A92670">
      <w:pPr>
        <w:pStyle w:val="ListParagraph"/>
        <w:numPr>
          <w:ilvl w:val="0"/>
          <w:numId w:val="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Key applications include individual application during the interview process, individual application in the context of corporate politics, firm application in competitive analysis, and individual application while facing the education consumption decision.</w:t>
      </w:r>
    </w:p>
    <w:p w14:paraId="47781590" w14:textId="400CE861" w:rsidR="00421CE5" w:rsidRDefault="00421CE5" w:rsidP="00A92670">
      <w:r>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21"/>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lastRenderedPageBreak/>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22"/>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23"/>
      </w:r>
      <w:r w:rsidR="00C07CBD">
        <w:t>. Years later, in 2018, a well-known salary aggregator called Glassdoor reported on 15 major companies, including Google, which no longer required a degree</w:t>
      </w:r>
      <w:r w:rsidR="00C07CBD">
        <w:rPr>
          <w:rStyle w:val="FootnoteReference"/>
        </w:rPr>
        <w:footnoteReference w:id="24"/>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25"/>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967C786" w:rsidR="00DE1372" w:rsidRPr="00A92670" w:rsidRDefault="00801667" w:rsidP="00A92670">
      <w:r>
        <w:t>The important takeaway from the findings for individuals facing education consumption choices is that</w:t>
      </w:r>
      <w:r w:rsidR="00812D6B">
        <w:t xml:space="preserve"> most people are favorable to the idea that alternative credentials </w:t>
      </w:r>
    </w:p>
    <w:sectPr w:rsidR="00DE1372" w:rsidRPr="00A926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BB901" w14:textId="77777777" w:rsidR="00893578" w:rsidRDefault="00893578" w:rsidP="00BA4695">
      <w:pPr>
        <w:spacing w:after="0" w:line="240" w:lineRule="auto"/>
      </w:pPr>
      <w:r>
        <w:separator/>
      </w:r>
    </w:p>
  </w:endnote>
  <w:endnote w:type="continuationSeparator" w:id="0">
    <w:p w14:paraId="781BD634" w14:textId="77777777" w:rsidR="00893578" w:rsidRDefault="00893578"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37FC8" w14:textId="77777777" w:rsidR="00893578" w:rsidRDefault="00893578" w:rsidP="00BA4695">
      <w:pPr>
        <w:spacing w:after="0" w:line="240" w:lineRule="auto"/>
      </w:pPr>
      <w:r>
        <w:separator/>
      </w:r>
    </w:p>
  </w:footnote>
  <w:footnote w:type="continuationSeparator" w:id="0">
    <w:p w14:paraId="521B586D" w14:textId="77777777" w:rsidR="00893578" w:rsidRDefault="00893578" w:rsidP="00BA4695">
      <w:pPr>
        <w:spacing w:after="0" w:line="240" w:lineRule="auto"/>
      </w:pPr>
      <w:r>
        <w:continuationSeparator/>
      </w:r>
    </w:p>
  </w:footnote>
  <w:footnote w:id="1">
    <w:p w14:paraId="204795CE" w14:textId="313FF727" w:rsidR="005502CB" w:rsidRDefault="005502CB">
      <w:pPr>
        <w:pStyle w:val="FootnoteText"/>
      </w:pPr>
      <w:r>
        <w:rPr>
          <w:rStyle w:val="FootnoteReference"/>
        </w:rPr>
        <w:footnoteRef/>
      </w:r>
      <w:r>
        <w:t xml:space="preserve"> </w:t>
      </w:r>
      <w:hyperlink r:id="rId1" w:history="1">
        <w:r>
          <w:rPr>
            <w:rStyle w:val="Hyperlink"/>
          </w:rPr>
          <w:t>https://heinonline.org/HOL/LandingPage?handle=hein.journals/swulr29&amp;div=22&amp;id=&amp;pag</w:t>
        </w:r>
        <w:r>
          <w:rPr>
            <w:rStyle w:val="Hyperlink"/>
          </w:rPr>
          <w:t>e</w:t>
        </w:r>
        <w:r>
          <w:rPr>
            <w:rStyle w:val="Hyperlink"/>
          </w:rPr>
          <w:t>=&amp;t=1556581085</w:t>
        </w:r>
      </w:hyperlink>
    </w:p>
  </w:footnote>
  <w:footnote w:id="2">
    <w:p w14:paraId="1331EE9E" w14:textId="1376D65B" w:rsidR="00CD4008" w:rsidRDefault="00CD4008">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5502CB" w:rsidRDefault="005502CB">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5502CB" w:rsidRDefault="005502CB">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5564F8" w:rsidRPr="0069539E" w:rsidRDefault="005564F8">
      <w:pPr>
        <w:pStyle w:val="FootnoteText"/>
      </w:pPr>
      <w:r>
        <w:rPr>
          <w:rStyle w:val="FootnoteReference"/>
        </w:rPr>
        <w:footnoteRef/>
      </w:r>
      <w:r>
        <w:t xml:space="preserve"> </w:t>
      </w:r>
      <w:r w:rsidR="00D64BE8">
        <w:t xml:space="preserve">A recommended </w:t>
      </w:r>
      <w:r w:rsidR="006C3205">
        <w:t>example</w:t>
      </w:r>
      <w:r w:rsidR="00C40044">
        <w:t>:</w:t>
      </w:r>
      <w:r w:rsidR="00D64BE8">
        <w:t xml:space="preserve"> </w:t>
      </w:r>
      <w:r w:rsidR="00D64BE8" w:rsidRPr="00D64BE8">
        <w:t xml:space="preserve">Caplan, Bryan. </w:t>
      </w:r>
      <w:r w:rsidR="00D64BE8" w:rsidRPr="00D64BE8">
        <w:rPr>
          <w:i/>
        </w:rPr>
        <w:t>The case against education: Why the education system is a waste of time and money</w:t>
      </w:r>
      <w:r w:rsidR="00D64BE8" w:rsidRPr="00D64BE8">
        <w:t>. Princeton University Press, 2018.</w:t>
      </w:r>
    </w:p>
  </w:footnote>
  <w:footnote w:id="6">
    <w:p w14:paraId="0CC31CDD" w14:textId="11C14314" w:rsidR="00BA4695" w:rsidRDefault="00BA4695">
      <w:pPr>
        <w:pStyle w:val="FootnoteText"/>
      </w:pPr>
      <w:r>
        <w:rPr>
          <w:rStyle w:val="FootnoteReference"/>
        </w:rPr>
        <w:footnoteRef/>
      </w:r>
      <w:r>
        <w:t xml:space="preserve"> </w:t>
      </w:r>
      <w:r w:rsidR="00DE2513">
        <w:t xml:space="preserve">This represents a price increase </w:t>
      </w:r>
      <w:r w:rsidR="00DB26C3">
        <w:t>from $11,862 to $21,222 i</w:t>
      </w:r>
      <w:r>
        <w:t xml:space="preserve">n constant 2016 dollars. </w:t>
      </w:r>
      <w:r w:rsidR="00DE2513">
        <w:t xml:space="preserve">This price includes </w:t>
      </w:r>
      <w:r w:rsidR="00DE2513" w:rsidRPr="00DE2513">
        <w:t>tuition and fees and room and board rates charged for full-time students in degree-granting postsecondary institutions</w:t>
      </w:r>
      <w:r w:rsidR="00DE2513">
        <w:t xml:space="preserve">. </w:t>
      </w:r>
      <w:hyperlink r:id="rId5" w:history="1">
        <w:r w:rsidR="00DE2513" w:rsidRPr="00116C43">
          <w:rPr>
            <w:rStyle w:val="Hyperlink"/>
          </w:rPr>
          <w:t>https://nces.ed.gov/programs/digest/d17/tables/dt17_330.10.asp</w:t>
        </w:r>
      </w:hyperlink>
    </w:p>
  </w:footnote>
  <w:footnote w:id="7">
    <w:p w14:paraId="3BB81CAC" w14:textId="54D1F73F" w:rsidR="00442722" w:rsidRDefault="00442722">
      <w:pPr>
        <w:pStyle w:val="FootnoteText"/>
      </w:pPr>
      <w:r>
        <w:rPr>
          <w:rStyle w:val="FootnoteReference"/>
        </w:rPr>
        <w:footnoteRef/>
      </w:r>
      <w:r>
        <w:t xml:space="preserve"> This represents an increase from $</w:t>
      </w:r>
      <w:r w:rsidRPr="00442722">
        <w:t>8,654</w:t>
      </w:r>
      <w:r>
        <w:t xml:space="preserve"> to $11,011 in constant 2014 dollars</w:t>
      </w:r>
      <w:r w:rsidR="009D7959">
        <w:t xml:space="preserve">. </w:t>
      </w:r>
      <w:hyperlink r:id="rId6" w:history="1">
        <w:r w:rsidR="009D7959">
          <w:rPr>
            <w:rStyle w:val="Hyperlink"/>
          </w:rPr>
          <w:t>https://nces.ed.gov/programs/digest/d15/tables/dt15_236.15.asp</w:t>
        </w:r>
      </w:hyperlink>
    </w:p>
  </w:footnote>
  <w:footnote w:id="8">
    <w:p w14:paraId="6087AE45" w14:textId="0247E7F1" w:rsidR="00452AB4" w:rsidRDefault="00452AB4">
      <w:pPr>
        <w:pStyle w:val="FootnoteText"/>
      </w:pPr>
      <w:r>
        <w:rPr>
          <w:rStyle w:val="FootnoteReference"/>
        </w:rPr>
        <w:footnoteRef/>
      </w:r>
      <w:r>
        <w:t xml:space="preserve"> </w:t>
      </w:r>
      <w:r w:rsidR="008110A8">
        <w:t>From 1989 to 2012</w:t>
      </w:r>
      <w:r w:rsidR="00193632">
        <w:t>,</w:t>
      </w:r>
      <w:r w:rsidR="008110A8">
        <w:t xml:space="preserve"> a decrease</w:t>
      </w:r>
      <w:r w:rsidR="00193632">
        <w:t xml:space="preserve"> of $4,385</w:t>
      </w:r>
      <w:r w:rsidR="008110A8">
        <w:t xml:space="preserve"> from $49,487 to </w:t>
      </w:r>
      <w:r w:rsidR="008110A8" w:rsidRPr="008110A8">
        <w:t>$45,102</w:t>
      </w:r>
      <w:r w:rsidR="008110A8">
        <w:t xml:space="preserve"> in constant 2016 dollars is observed.</w:t>
      </w:r>
      <w:r w:rsidR="000C6FA3">
        <w:t xml:space="preserve"> </w:t>
      </w:r>
      <w:r w:rsidR="0097272D">
        <w:t>(</w:t>
      </w:r>
      <w:r w:rsidR="00FA60F4">
        <w:t>4385/49487</w:t>
      </w:r>
      <w:r w:rsidR="0097272D">
        <w:t>)</w:t>
      </w:r>
      <w:r w:rsidR="00FA60F4">
        <w:t xml:space="preserve"> = .089.</w:t>
      </w:r>
      <w:r w:rsidR="008110A8">
        <w:t xml:space="preserve"> From 1960 to 2012 an increase from</w:t>
      </w:r>
      <w:r w:rsidR="00BA340F">
        <w:t xml:space="preserve"> </w:t>
      </w:r>
      <w:r w:rsidR="00BA340F" w:rsidRPr="00BA340F">
        <w:t>$47,442</w:t>
      </w:r>
      <w:r w:rsidR="0072566D">
        <w:t xml:space="preserve"> to </w:t>
      </w:r>
      <w:r w:rsidR="0072566D" w:rsidRPr="0072566D">
        <w:t>$50,219</w:t>
      </w:r>
      <w:r w:rsidR="008110A8">
        <w:t xml:space="preserve"> is observed. </w:t>
      </w:r>
      <w:hyperlink r:id="rId7" w:history="1">
        <w:r w:rsidR="008110A8" w:rsidRPr="00116C43">
          <w:rPr>
            <w:rStyle w:val="Hyperlink"/>
          </w:rPr>
          <w:t>https://www.naceweb.org/job-market/compensation/salary-trends-through-salary-survey-a-historical-perspective-on-starting-salaries-for-new-college-graduates/</w:t>
        </w:r>
      </w:hyperlink>
    </w:p>
  </w:footnote>
  <w:footnote w:id="9">
    <w:p w14:paraId="1710B97D" w14:textId="4586298A" w:rsidR="00DF2117" w:rsidRDefault="00DF2117"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B20CA5" w:rsidRDefault="00B20CA5">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2C3BC9" w:rsidRPr="002C3BC9" w:rsidRDefault="002C3BC9">
      <w:pPr>
        <w:pStyle w:val="FootnoteText"/>
        <w:rPr>
          <w:i/>
        </w:rPr>
      </w:pPr>
      <w:r>
        <w:rPr>
          <w:rStyle w:val="FootnoteReference"/>
        </w:rPr>
        <w:footnoteRef/>
      </w:r>
      <w:r>
        <w:t xml:space="preserve"> </w:t>
      </w:r>
      <w:r w:rsidR="00B42493" w:rsidRPr="00D64BE8">
        <w:t xml:space="preserve">Caplan, Bryan. </w:t>
      </w:r>
      <w:r w:rsidR="00B42493" w:rsidRPr="00D64BE8">
        <w:rPr>
          <w:i/>
        </w:rPr>
        <w:t>The case against education: Why the education system is a waste of time and money</w:t>
      </w:r>
      <w:r w:rsidR="00B42493" w:rsidRPr="00D64BE8">
        <w:t>. Princeton University Press, 2018.</w:t>
      </w:r>
    </w:p>
  </w:footnote>
  <w:footnote w:id="12">
    <w:p w14:paraId="0AF05862" w14:textId="1F2888E5" w:rsidR="008D7BD4" w:rsidRDefault="008D7BD4">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7A644A7F" w14:textId="6BBD1543" w:rsidR="00A56786" w:rsidRDefault="00A56786">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56A74DD8" w14:textId="0D7205B7" w:rsidR="00FB3F95" w:rsidRDefault="00FB3F95">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054D1063" w14:textId="734CC334" w:rsidR="008F6AC8" w:rsidRDefault="008F6AC8">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6154D548" w14:textId="536B6C3C" w:rsidR="00656A49" w:rsidRDefault="00656A49">
      <w:pPr>
        <w:pStyle w:val="FootnoteText"/>
      </w:pPr>
      <w:r>
        <w:rPr>
          <w:rStyle w:val="FootnoteReference"/>
        </w:rPr>
        <w:footnoteRef/>
      </w:r>
      <w:r>
        <w:t xml:space="preserve"> </w:t>
      </w:r>
      <w:hyperlink r:id="rId14" w:history="1">
        <w:r>
          <w:rPr>
            <w:rStyle w:val="Hyperlink"/>
          </w:rPr>
          <w:t>https://nces.ed.gov/programs/coe/pdf/Indicator_CPA/coe_cpa_2013_01.pdf</w:t>
        </w:r>
      </w:hyperlink>
    </w:p>
  </w:footnote>
  <w:footnote w:id="17">
    <w:p w14:paraId="190AC3D3" w14:textId="20B16DE9" w:rsidR="00AF7B34" w:rsidRDefault="00AF7B34">
      <w:pPr>
        <w:pStyle w:val="FootnoteText"/>
      </w:pPr>
      <w:r>
        <w:rPr>
          <w:rStyle w:val="FootnoteReference"/>
        </w:rPr>
        <w:footnoteRef/>
      </w:r>
      <w:r>
        <w:t xml:space="preserve"> </w:t>
      </w:r>
      <w:hyperlink r:id="rId15" w:history="1">
        <w:r>
          <w:rPr>
            <w:rStyle w:val="Hyperlink"/>
          </w:rPr>
          <w:t>https://nces.ed.gov/fastfacts/display.asp?id=51</w:t>
        </w:r>
      </w:hyperlink>
    </w:p>
  </w:footnote>
  <w:footnote w:id="18">
    <w:p w14:paraId="51408B9D" w14:textId="1A778D40" w:rsidR="0084405C" w:rsidRDefault="0084405C">
      <w:pPr>
        <w:pStyle w:val="FootnoteText"/>
      </w:pPr>
      <w:r>
        <w:rPr>
          <w:rStyle w:val="FootnoteReference"/>
        </w:rPr>
        <w:footnoteRef/>
      </w:r>
      <w:r>
        <w:t xml:space="preserve"> </w:t>
      </w:r>
      <w:hyperlink r:id="rId16" w:history="1">
        <w:r>
          <w:rPr>
            <w:rStyle w:val="Hyperlink"/>
          </w:rPr>
          <w:t>https://nces.ed.gov/fastfacts/display.asp?id=372</w:t>
        </w:r>
      </w:hyperlink>
    </w:p>
  </w:footnote>
  <w:footnote w:id="19">
    <w:p w14:paraId="45C849BE" w14:textId="6946E007" w:rsidR="0084405C" w:rsidRDefault="0084405C">
      <w:pPr>
        <w:pStyle w:val="FootnoteText"/>
      </w:pPr>
      <w:r>
        <w:rPr>
          <w:rStyle w:val="FootnoteReference"/>
        </w:rPr>
        <w:footnoteRef/>
      </w:r>
      <w:r>
        <w:t xml:space="preserve"> </w:t>
      </w:r>
      <w:hyperlink r:id="rId17" w:history="1">
        <w:r>
          <w:rPr>
            <w:rStyle w:val="Hyperlink"/>
          </w:rPr>
          <w:t>https://www.census.gov/newsroom/press-releases/2017/cb17-51.html</w:t>
        </w:r>
      </w:hyperlink>
    </w:p>
  </w:footnote>
  <w:footnote w:id="20">
    <w:p w14:paraId="276BB381" w14:textId="27DF0785" w:rsidR="00CB75C8" w:rsidRDefault="00CB75C8">
      <w:pPr>
        <w:pStyle w:val="FootnoteText"/>
      </w:pPr>
      <w:r>
        <w:rPr>
          <w:rStyle w:val="FootnoteReference"/>
        </w:rPr>
        <w:footnoteRef/>
      </w:r>
      <w:r>
        <w:t xml:space="preserve"> </w:t>
      </w:r>
      <w:hyperlink r:id="rId18" w:history="1">
        <w:r>
          <w:rPr>
            <w:rStyle w:val="Hyperlink"/>
          </w:rPr>
          <w:t>https://www.sciencedirect.com/science/article/abs/pii/0167487096800146</w:t>
        </w:r>
      </w:hyperlink>
    </w:p>
  </w:footnote>
  <w:footnote w:id="21">
    <w:p w14:paraId="60870664" w14:textId="6FAFA444" w:rsidR="00812D6B" w:rsidRDefault="00812D6B">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w:t>
      </w:r>
      <w:r w:rsidR="00F925DF">
        <w:t>cprovider1 itself has a significant, positive effect, indicating that informing a person about an alternative learning provider is expected to have a positive impact to the variable of interest, which is alternative credential favorability.</w:t>
      </w:r>
    </w:p>
  </w:footnote>
  <w:footnote w:id="22">
    <w:p w14:paraId="70B3A3E7" w14:textId="5E04B031" w:rsidR="00AC1DB1" w:rsidRDefault="00AC1DB1">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w:t>
      </w:r>
      <w:r w:rsidR="00254B9F">
        <w:t xml:space="preserve"> considerable </w:t>
      </w:r>
      <w:r>
        <w:t>magnitude of -.6.</w:t>
      </w:r>
    </w:p>
  </w:footnote>
  <w:footnote w:id="23">
    <w:p w14:paraId="0FCC2205" w14:textId="5AC36645" w:rsidR="00C07CBD" w:rsidRDefault="00C07CBD">
      <w:pPr>
        <w:pStyle w:val="FootnoteText"/>
      </w:pPr>
      <w:r>
        <w:rPr>
          <w:rStyle w:val="FootnoteReference"/>
        </w:rPr>
        <w:footnoteRef/>
      </w:r>
      <w:r>
        <w:t xml:space="preserve"> </w:t>
      </w:r>
      <w:hyperlink r:id="rId19" w:history="1">
        <w:r>
          <w:rPr>
            <w:rStyle w:val="Hyperlink"/>
          </w:rPr>
          <w:t>https://www.nytimes.com/2013/06/20/business/in-head-hunting-big-data-may-not-be-such-a-big-deal.html</w:t>
        </w:r>
      </w:hyperlink>
    </w:p>
  </w:footnote>
  <w:footnote w:id="24">
    <w:p w14:paraId="7AF6A53C" w14:textId="1DF57D02" w:rsidR="00C07CBD" w:rsidRDefault="00C07CBD">
      <w:pPr>
        <w:pStyle w:val="FootnoteText"/>
      </w:pPr>
      <w:r>
        <w:rPr>
          <w:rStyle w:val="FootnoteReference"/>
        </w:rPr>
        <w:footnoteRef/>
      </w:r>
      <w:r>
        <w:t xml:space="preserve"> </w:t>
      </w:r>
      <w:hyperlink r:id="rId20" w:history="1">
        <w:r>
          <w:rPr>
            <w:rStyle w:val="Hyperlink"/>
          </w:rPr>
          <w:t>https://www.glassdoor.com/blog/no-degree-required/</w:t>
        </w:r>
      </w:hyperlink>
    </w:p>
  </w:footnote>
  <w:footnote w:id="25">
    <w:p w14:paraId="0AF8BEF4" w14:textId="1D122010" w:rsidR="00C07CBD" w:rsidRDefault="00C07CBD">
      <w:pPr>
        <w:pStyle w:val="FootnoteText"/>
      </w:pPr>
      <w:r>
        <w:rPr>
          <w:rStyle w:val="FootnoteReference"/>
        </w:rPr>
        <w:footnoteRef/>
      </w:r>
      <w:r>
        <w:t xml:space="preserve"> </w:t>
      </w:r>
      <w:hyperlink r:id="rId21"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75818"/>
    <w:multiLevelType w:val="hybridMultilevel"/>
    <w:tmpl w:val="17021E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45C2D"/>
    <w:rsid w:val="000513FB"/>
    <w:rsid w:val="00056CB3"/>
    <w:rsid w:val="00064A80"/>
    <w:rsid w:val="000C6FA3"/>
    <w:rsid w:val="000D2886"/>
    <w:rsid w:val="000D5DAA"/>
    <w:rsid w:val="00100062"/>
    <w:rsid w:val="001068E9"/>
    <w:rsid w:val="00114C02"/>
    <w:rsid w:val="00120DBD"/>
    <w:rsid w:val="00122F3B"/>
    <w:rsid w:val="0013235E"/>
    <w:rsid w:val="00177890"/>
    <w:rsid w:val="00187B28"/>
    <w:rsid w:val="00193632"/>
    <w:rsid w:val="00197228"/>
    <w:rsid w:val="001E666F"/>
    <w:rsid w:val="001F109D"/>
    <w:rsid w:val="00217F4A"/>
    <w:rsid w:val="002528CA"/>
    <w:rsid w:val="00254B9F"/>
    <w:rsid w:val="00283992"/>
    <w:rsid w:val="002862C7"/>
    <w:rsid w:val="00291A62"/>
    <w:rsid w:val="002A7921"/>
    <w:rsid w:val="002C0A73"/>
    <w:rsid w:val="002C1FAC"/>
    <w:rsid w:val="002C3557"/>
    <w:rsid w:val="002C3BC9"/>
    <w:rsid w:val="002D7E0B"/>
    <w:rsid w:val="002E6557"/>
    <w:rsid w:val="0033286E"/>
    <w:rsid w:val="00371A28"/>
    <w:rsid w:val="003B0D58"/>
    <w:rsid w:val="003F0E6B"/>
    <w:rsid w:val="00420B1D"/>
    <w:rsid w:val="00421CE5"/>
    <w:rsid w:val="0042617D"/>
    <w:rsid w:val="00442722"/>
    <w:rsid w:val="00452AB4"/>
    <w:rsid w:val="00487375"/>
    <w:rsid w:val="004A34A3"/>
    <w:rsid w:val="004C1B7C"/>
    <w:rsid w:val="004C1DA9"/>
    <w:rsid w:val="00516D3E"/>
    <w:rsid w:val="00541039"/>
    <w:rsid w:val="005502CB"/>
    <w:rsid w:val="005564F8"/>
    <w:rsid w:val="005A2D6A"/>
    <w:rsid w:val="005A3DFF"/>
    <w:rsid w:val="005C690B"/>
    <w:rsid w:val="00637194"/>
    <w:rsid w:val="00656A49"/>
    <w:rsid w:val="00676C3B"/>
    <w:rsid w:val="006778B3"/>
    <w:rsid w:val="006867A3"/>
    <w:rsid w:val="006876A3"/>
    <w:rsid w:val="00693F49"/>
    <w:rsid w:val="0069539E"/>
    <w:rsid w:val="006C3205"/>
    <w:rsid w:val="006D4383"/>
    <w:rsid w:val="006E4A0E"/>
    <w:rsid w:val="00707A87"/>
    <w:rsid w:val="0072566D"/>
    <w:rsid w:val="00757F70"/>
    <w:rsid w:val="007768CE"/>
    <w:rsid w:val="007958D1"/>
    <w:rsid w:val="00795CEF"/>
    <w:rsid w:val="007A4E62"/>
    <w:rsid w:val="007E106A"/>
    <w:rsid w:val="00800DA4"/>
    <w:rsid w:val="00801667"/>
    <w:rsid w:val="008110A8"/>
    <w:rsid w:val="00812D6B"/>
    <w:rsid w:val="00843EA1"/>
    <w:rsid w:val="0084405C"/>
    <w:rsid w:val="00850B94"/>
    <w:rsid w:val="00876DDB"/>
    <w:rsid w:val="00877DE2"/>
    <w:rsid w:val="00893578"/>
    <w:rsid w:val="0089765C"/>
    <w:rsid w:val="008D5DB5"/>
    <w:rsid w:val="008D7BD4"/>
    <w:rsid w:val="008F6AC8"/>
    <w:rsid w:val="00906909"/>
    <w:rsid w:val="0097272D"/>
    <w:rsid w:val="00996E43"/>
    <w:rsid w:val="009A5688"/>
    <w:rsid w:val="009A5D88"/>
    <w:rsid w:val="009B60D4"/>
    <w:rsid w:val="009C446F"/>
    <w:rsid w:val="009D0865"/>
    <w:rsid w:val="009D7959"/>
    <w:rsid w:val="00A56786"/>
    <w:rsid w:val="00A92670"/>
    <w:rsid w:val="00A93D12"/>
    <w:rsid w:val="00AA517A"/>
    <w:rsid w:val="00AA7DE0"/>
    <w:rsid w:val="00AC1DB1"/>
    <w:rsid w:val="00AC52CD"/>
    <w:rsid w:val="00AF7B34"/>
    <w:rsid w:val="00B10255"/>
    <w:rsid w:val="00B13125"/>
    <w:rsid w:val="00B20CA5"/>
    <w:rsid w:val="00B25E11"/>
    <w:rsid w:val="00B42493"/>
    <w:rsid w:val="00B52B4E"/>
    <w:rsid w:val="00B90D65"/>
    <w:rsid w:val="00B92C6A"/>
    <w:rsid w:val="00BA340F"/>
    <w:rsid w:val="00BA4695"/>
    <w:rsid w:val="00BB5152"/>
    <w:rsid w:val="00BD0EBC"/>
    <w:rsid w:val="00C07CBD"/>
    <w:rsid w:val="00C32109"/>
    <w:rsid w:val="00C32EBA"/>
    <w:rsid w:val="00C40044"/>
    <w:rsid w:val="00C72A1F"/>
    <w:rsid w:val="00C85628"/>
    <w:rsid w:val="00CB75C8"/>
    <w:rsid w:val="00CC6D85"/>
    <w:rsid w:val="00CD3A97"/>
    <w:rsid w:val="00CD4008"/>
    <w:rsid w:val="00CE37A3"/>
    <w:rsid w:val="00CF3D1D"/>
    <w:rsid w:val="00CF661F"/>
    <w:rsid w:val="00D16CAC"/>
    <w:rsid w:val="00D23F22"/>
    <w:rsid w:val="00D34359"/>
    <w:rsid w:val="00D41E73"/>
    <w:rsid w:val="00D50CB5"/>
    <w:rsid w:val="00D64322"/>
    <w:rsid w:val="00D64BE8"/>
    <w:rsid w:val="00D73054"/>
    <w:rsid w:val="00D92D82"/>
    <w:rsid w:val="00DB26C3"/>
    <w:rsid w:val="00DE1372"/>
    <w:rsid w:val="00DE15C2"/>
    <w:rsid w:val="00DE2513"/>
    <w:rsid w:val="00DF2117"/>
    <w:rsid w:val="00DF73A2"/>
    <w:rsid w:val="00E17E53"/>
    <w:rsid w:val="00E337AF"/>
    <w:rsid w:val="00E40ADF"/>
    <w:rsid w:val="00E45A31"/>
    <w:rsid w:val="00E53296"/>
    <w:rsid w:val="00EB6995"/>
    <w:rsid w:val="00ED2D8F"/>
    <w:rsid w:val="00F05530"/>
    <w:rsid w:val="00F1049D"/>
    <w:rsid w:val="00F23632"/>
    <w:rsid w:val="00F8061A"/>
    <w:rsid w:val="00F80AB1"/>
    <w:rsid w:val="00F85582"/>
    <w:rsid w:val="00F925DF"/>
    <w:rsid w:val="00FA60F4"/>
    <w:rsid w:val="00FB3F95"/>
    <w:rsid w:val="00FE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sciencedirect.com/science/article/abs/pii/0167487096800146" TargetMode="External"/><Relationship Id="rId3" Type="http://schemas.openxmlformats.org/officeDocument/2006/relationships/hyperlink" Target="https://eric.ed.gov/?id=EJ198251" TargetMode="External"/><Relationship Id="rId21" Type="http://schemas.openxmlformats.org/officeDocument/2006/relationships/hyperlink" Target="https://www.cio.com/article/3250634/want-a-more-diverse-workforce-hire-bootcamp-graduates.html"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www.census.gov/newsroom/press-releases/2017/cb17-51.html"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372" TargetMode="External"/><Relationship Id="rId20" Type="http://schemas.openxmlformats.org/officeDocument/2006/relationships/hyperlink" Target="https://www.glassdoor.com/blog/no-degree-required/"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fastfacts/display.asp?id=51"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nytimes.com/2013/06/20/business/in-head-hunting-big-data-may-not-be-such-a-big-deal.html"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nces.ed.gov/programs/coe/pdf/Indicator_CPA/coe_cpa_2013_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E4819-081C-4B6B-81C5-B08ADE3E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10256</TotalTime>
  <Pages>7</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105</cp:revision>
  <dcterms:created xsi:type="dcterms:W3CDTF">2019-04-24T02:31:00Z</dcterms:created>
  <dcterms:modified xsi:type="dcterms:W3CDTF">2019-05-05T20:20:00Z</dcterms:modified>
</cp:coreProperties>
</file>