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446EF44E"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6F9F20FC" w14:textId="4701E689" w:rsidR="00556F58" w:rsidRDefault="00556F58" w:rsidP="00C25514"/>
    <w:p w14:paraId="2EF5DF47" w14:textId="24BC55DF" w:rsidR="00556F58" w:rsidRPr="00556F58" w:rsidRDefault="00556F58" w:rsidP="00C25514">
      <w:pPr>
        <w:rPr>
          <w:b/>
        </w:rPr>
      </w:pPr>
      <w:r>
        <w:rPr>
          <w:b/>
        </w:rPr>
        <w:t>2.7 Actual Alternatives: A History of Alternative Education in the United States</w:t>
      </w:r>
    </w:p>
    <w:p w14:paraId="1837F7B0" w14:textId="30AD2A31" w:rsidR="00025237" w:rsidRDefault="00025237" w:rsidP="00025237">
      <w:r>
        <w:t>Several other papers do a great job of assessing the history of alternative education prior to 2000. One important point in much of this literature is that differing concepts of alternative education are used. Aron</w:t>
      </w:r>
      <w:r>
        <w:rPr>
          <w:rStyle w:val="FootnoteReference"/>
        </w:rPr>
        <w:footnoteReference w:id="31"/>
      </w:r>
      <w:r>
        <w:t xml:space="preserve"> states that the term alternative education, “in its broadest sense covers all educational activities that fall outside the traditional K-12 school system (including home schooling, GED preparation K-12 school system (including home schooling, GED preparation programs, special programs for gifted children, charter schools, etc.), although the term is often used to describe programs serving vulnerable youth who are no longer in traditional schools.”</w:t>
      </w:r>
      <w:r w:rsidR="00E32970">
        <w:t xml:space="preserve"> In the same literature, Lange and Sletten are not </w:t>
      </w:r>
      <w:r w:rsidR="00E32970">
        <w:lastRenderedPageBreak/>
        <w:t>abnormal in nearly using the term as a synonym for K-12 special education. They collect earlier research on the subject beginning in the 1960s</w:t>
      </w:r>
      <w:r w:rsidR="00E32970">
        <w:rPr>
          <w:rStyle w:val="FootnoteReference"/>
        </w:rPr>
        <w:footnoteReference w:id="32"/>
      </w:r>
      <w:r w:rsidR="00E32970">
        <w:t>.</w:t>
      </w:r>
    </w:p>
    <w:p w14:paraId="77040CB6" w14:textId="771ECED8" w:rsidR="00914CF4" w:rsidRDefault="00630664" w:rsidP="00914CF4">
      <w:r>
        <w:t xml:space="preserve">The present paper takes an even broader look at alternative education by considering alternative post-secondary education including professional certifications and a crop of new, non-accredited, digital credentials like the Udacity Nanodegree. By looking at post-secondary education, the present paper unifies the literature on K-12 alternative education with the literature on nontraditional students. One might think nontraditional students exist in the K-12 space, and they do, but the nontraditional student literature focuses on college </w:t>
      </w:r>
      <w:proofErr w:type="gramStart"/>
      <w:r>
        <w:t>students in particular</w:t>
      </w:r>
      <w:proofErr w:type="gramEnd"/>
      <w:r>
        <w:t xml:space="preserve">. Dill and </w:t>
      </w:r>
      <w:proofErr w:type="spellStart"/>
      <w:r>
        <w:t>Henly</w:t>
      </w:r>
      <w:proofErr w:type="spellEnd"/>
      <w:r w:rsidR="00914CF4">
        <w:rPr>
          <w:rStyle w:val="FootnoteReference"/>
        </w:rPr>
        <w:footnoteReference w:id="33"/>
      </w:r>
      <w:r>
        <w:t xml:space="preserve">, operationalize a nontraditional student as </w:t>
      </w:r>
      <w:r w:rsidR="00914CF4">
        <w:t>“as having multiple roles (e.g., parent, employee, student) and at least 1 year between high school and college</w:t>
      </w:r>
      <w:r>
        <w:t>.</w:t>
      </w:r>
      <w:r w:rsidR="00914CF4">
        <w:t>”</w:t>
      </w:r>
      <w:r>
        <w:t xml:space="preserve"> Taniguchi and Kaufman</w:t>
      </w:r>
      <w:r w:rsidR="00914CF4">
        <w:rPr>
          <w:rStyle w:val="FootnoteReference"/>
        </w:rPr>
        <w:footnoteReference w:id="34"/>
      </w:r>
      <w:r>
        <w:t xml:space="preserve"> define a </w:t>
      </w:r>
      <w:proofErr w:type="spellStart"/>
      <w:r>
        <w:t>nontradional</w:t>
      </w:r>
      <w:proofErr w:type="spellEnd"/>
      <w:r>
        <w:t xml:space="preserve"> student as, “those who enter four-year colleges or universities as adults, or at age 21 or older.”</w:t>
      </w:r>
    </w:p>
    <w:p w14:paraId="399CBCFC" w14:textId="20C8EF47" w:rsidR="00396DE0" w:rsidRDefault="00914CF4" w:rsidP="00914CF4">
      <w:r>
        <w:t xml:space="preserve">A variety of definitions are used for alternative education and nontraditional learning, but many of the solutions are robust across these definitions. The present paper emphasizes postsecondary alternative learning, but many of the technical solutions which are helpful in this space are also helpful elsewhere. </w:t>
      </w:r>
      <w:r w:rsidR="00E32970">
        <w:t>Partially or fully online learning</w:t>
      </w:r>
      <w:r>
        <w:t xml:space="preserve">, personalized learning, </w:t>
      </w:r>
      <w:r w:rsidR="00E32970">
        <w:t xml:space="preserve">and </w:t>
      </w:r>
      <w:r>
        <w:t>active learning</w:t>
      </w:r>
      <w:r w:rsidR="00E32970">
        <w:t xml:space="preserve"> are examples of alternative pedagogies which improve results across many of these categories.</w:t>
      </w:r>
    </w:p>
    <w:p w14:paraId="6EFCBE52" w14:textId="77777777" w:rsidR="00BC5EC1" w:rsidRDefault="00CA358C" w:rsidP="00BC5EC1">
      <w:proofErr w:type="spellStart"/>
      <w:r>
        <w:t>Harasim</w:t>
      </w:r>
      <w:proofErr w:type="spellEnd"/>
      <w:r>
        <w:t xml:space="preserve"> gives a good history of online education from the founding of the world wide web in 1992 through the year 2000</w:t>
      </w:r>
      <w:r>
        <w:rPr>
          <w:rStyle w:val="FootnoteReference"/>
        </w:rPr>
        <w:footnoteReference w:id="35"/>
      </w:r>
      <w:r>
        <w:t>.</w:t>
      </w:r>
      <w:r w:rsidR="002C0AC6">
        <w:t xml:space="preserve"> </w:t>
      </w:r>
      <w:r w:rsidR="000802FD">
        <w:t xml:space="preserve">Allen and Seaman gave an early look at online education </w:t>
      </w:r>
      <w:r w:rsidR="002C0AC6">
        <w:t>beginning in 2003 and proceeding annually, then they released an informative 10-year review in 2013</w:t>
      </w:r>
      <w:r w:rsidR="002C0AC6">
        <w:rPr>
          <w:rStyle w:val="FootnoteReference"/>
        </w:rPr>
        <w:footnoteReference w:id="36"/>
      </w:r>
      <w:r w:rsidR="002C0AC6">
        <w:t>. From these papers we can already see some clear problems and advantages with online learning. Advantages include lower cost and improved learning outcomes from web-assisted or hybrid courses. The effectiveness of online learning grew importantly over the early 2000s. In 2003, 57.2 percent of academic leaders rated learning outcomes from online education as the same or better than face-to-face, while the number rose to 77% in 2012.</w:t>
      </w:r>
    </w:p>
    <w:p w14:paraId="2FE58BD5" w14:textId="348D366B" w:rsidR="002C0AC6" w:rsidRDefault="00BC5EC1" w:rsidP="00BC5EC1">
      <w:r>
        <w:t xml:space="preserve">Massive Open Online Courses, or MOOCs, are a major topic in the modern digital learning literature. In the Allen and Seaman note that, “Academic leaders remain unconvinced that MOOCs represent a sustainable method for offering online </w:t>
      </w:r>
      <w:proofErr w:type="gramStart"/>
      <w:r>
        <w:t>courses, but</w:t>
      </w:r>
      <w:proofErr w:type="gramEnd"/>
      <w:r>
        <w:t xml:space="preserve"> do believe they provide an important means for institutions to learn about online pedagogy.</w:t>
      </w:r>
      <w:r w:rsidR="00BE34AD">
        <w:t xml:space="preserve">” The literature on MOOCs is broadly pessimistic about effectiveness. A well-designed study in 2015 found that </w:t>
      </w:r>
      <w:proofErr w:type="gramStart"/>
      <w:r w:rsidR="00BE34AD">
        <w:t>a majority of</w:t>
      </w:r>
      <w:proofErr w:type="gramEnd"/>
      <w:r w:rsidR="00BE34AD">
        <w:t xml:space="preserve"> MOOCs scored highly on organization of material and low on instructional design</w:t>
      </w:r>
      <w:r w:rsidR="00BE34AD">
        <w:rPr>
          <w:rStyle w:val="FootnoteReference"/>
        </w:rPr>
        <w:footnoteReference w:id="37"/>
      </w:r>
      <w:r w:rsidR="00BE34AD">
        <w:t>.</w:t>
      </w:r>
    </w:p>
    <w:p w14:paraId="286D7DCA" w14:textId="47E3CACB" w:rsidR="00CD2F4F" w:rsidRDefault="00CD2F4F" w:rsidP="00BC5EC1">
      <w:r>
        <w:lastRenderedPageBreak/>
        <w:t>Universities are shifting to become more like their alternative competitors, but an interesting finding is that their competitors are also shifting to become more university-like, so that traditional educators and disruptive educators both appear to be equilibrating around a hybrid model, and even partnering directly with each other so that online education providers are beginning to offer college credit.</w:t>
      </w:r>
    </w:p>
    <w:p w14:paraId="39AD7BD2" w14:textId="77777777" w:rsidR="00D15352" w:rsidRDefault="00D15352" w:rsidP="00D15352">
      <w:r>
        <w:t>The present paper is focused on suitability of alternative credential. A prototypical example of the type of modern, digital, alternative credential the research is intended to relate to would be the Udacity Nanodegree. This credential is specifically mentioned during survey administration. The survey includes a brief statement on alternative credentials as follows:</w:t>
      </w:r>
    </w:p>
    <w:p w14:paraId="4F73FB95" w14:textId="77777777" w:rsidR="00D15352" w:rsidRDefault="00D15352" w:rsidP="00D15352">
      <w:pPr>
        <w:ind w:left="720"/>
      </w:pPr>
      <w:r w:rsidRPr="00A26C5C">
        <w:t>Alternative credentials include certificates, documents, and other proof of receiving education, other than traditional credentials. Traditional credentials include a high school diploma or an undergraduate degree from an accredited university. An example of an alternative credential is a Nanodegree from Udacity.</w:t>
      </w:r>
    </w:p>
    <w:p w14:paraId="2F876A3B" w14:textId="77777777" w:rsidR="00D15352" w:rsidRDefault="00D15352" w:rsidP="00D15352">
      <w:r>
        <w:t>While there is some ongoing discussion in the current literature to the effect that online education is still contentious, the present section shows that online and hybrid learning are in fact a new normal which has been developing for some time. The disruptive education of Clayton Christiansen and Michael Horn has already been incorporated into the typical university</w:t>
      </w:r>
      <w:r>
        <w:rPr>
          <w:rStyle w:val="FootnoteReference"/>
        </w:rPr>
        <w:footnoteReference w:id="38"/>
      </w:r>
      <w:r>
        <w:t>.</w:t>
      </w:r>
    </w:p>
    <w:p w14:paraId="790330DF" w14:textId="77777777" w:rsidR="00D15352" w:rsidRDefault="00D15352" w:rsidP="00D15352">
      <w:r>
        <w:t xml:space="preserve">While the present paper strongly argues for alternative education, it agrees with scholars like Jeffrey </w:t>
      </w:r>
      <w:proofErr w:type="spellStart"/>
      <w:r>
        <w:t>Selingo</w:t>
      </w:r>
      <w:proofErr w:type="spellEnd"/>
      <w:r>
        <w:t>. Jeff agrees that the bundled service model of the traditional 4-year undergraduate degree is collapsing, but rather than foreseeing a market takeover by nimbler competitors, Jeff is optimistic that universities will be able to adapt. This theme of universities successfully adapting to become like their competitors, rather than being ousted by competitors, is a major theme of the book.</w:t>
      </w:r>
    </w:p>
    <w:p w14:paraId="07A5B49F" w14:textId="66E36E1D" w:rsidR="00CD2F4F" w:rsidRDefault="00CD2F4F" w:rsidP="00CD2F4F">
      <w:r>
        <w:t>In Robinson</w:t>
      </w:r>
      <w:r w:rsidR="005A0A02">
        <w:rPr>
          <w:rStyle w:val="FootnoteReference"/>
        </w:rPr>
        <w:footnoteReference w:id="39"/>
      </w:r>
      <w:r>
        <w:t xml:space="preserve"> and </w:t>
      </w:r>
      <w:proofErr w:type="spellStart"/>
      <w:r>
        <w:t>Selingo</w:t>
      </w:r>
      <w:proofErr w:type="spellEnd"/>
      <w:r w:rsidR="005A0A02">
        <w:rPr>
          <w:rStyle w:val="FootnoteReference"/>
        </w:rPr>
        <w:footnoteReference w:id="40"/>
      </w:r>
      <w:r>
        <w:t xml:space="preserve"> we see traditional providers including </w:t>
      </w:r>
      <w:r w:rsidR="005A0A02">
        <w:t>four-year</w:t>
      </w:r>
      <w:r>
        <w:t xml:space="preserve"> universities adapting and innovating by adopting best-of-breed technologies, pedagogies, and program structures piloted by alternative providers. Craig </w:t>
      </w:r>
      <w:r w:rsidR="00165334">
        <w:t>shows</w:t>
      </w:r>
      <w:r>
        <w:t xml:space="preserve"> that this flow is bidirectional, rather than unidirectional. Craig notes that Udacity's latest innovation is the in-person course</w:t>
      </w:r>
      <w:r w:rsidR="00165334">
        <w:rPr>
          <w:rStyle w:val="FootnoteReference"/>
        </w:rPr>
        <w:footnoteReference w:id="41"/>
      </w:r>
      <w:r>
        <w:t xml:space="preserve">. </w:t>
      </w:r>
      <w:proofErr w:type="spellStart"/>
      <w:r>
        <w:t>Besomebody</w:t>
      </w:r>
      <w:proofErr w:type="spellEnd"/>
      <w:r>
        <w:t xml:space="preserve"> Paths are fully offline. The typical course seems to be achieving equilibrium among a range of subtly different, but substantively similar, hybrid modes. Far from being an artifact of overfitting this literature, the elucidated pattern is consistent with multiple stories that none of these authors mention.</w:t>
      </w:r>
    </w:p>
    <w:p w14:paraId="21ED69C1" w14:textId="2BFED320" w:rsidR="001F2A24" w:rsidRDefault="00016D24" w:rsidP="00CD2F4F">
      <w:r>
        <w:t>An elementary conversation on alternative education consists in contrasting disruptive private education and online learning providers with traditional education. Clayton Christiansen lead development of thought on disrupt</w:t>
      </w:r>
      <w:r w:rsidR="001F2A24">
        <w:t>ive innovation</w:t>
      </w:r>
      <w:r w:rsidR="001F2A24">
        <w:rPr>
          <w:rStyle w:val="FootnoteReference"/>
        </w:rPr>
        <w:footnoteReference w:id="42"/>
      </w:r>
      <w:r w:rsidR="001F2A24">
        <w:t xml:space="preserve"> and worked with Michael Horn to bring this analysis to the field of education in 2008 with a book entitled </w:t>
      </w:r>
      <w:r w:rsidR="001F2A24" w:rsidRPr="001F2A24">
        <w:rPr>
          <w:i/>
        </w:rPr>
        <w:t>Disrupting Class: How Disruptive Innovation Will Change the Way the World Learns</w:t>
      </w:r>
      <w:r w:rsidR="001F2A24">
        <w:t xml:space="preserve">. Notice the change in tense between 2008 and 2011, when Clayton </w:t>
      </w:r>
      <w:r w:rsidR="001F2A24">
        <w:lastRenderedPageBreak/>
        <w:t xml:space="preserve">publishes a second book on the subject called </w:t>
      </w:r>
      <w:r w:rsidR="001F2A24" w:rsidRPr="001F2A24">
        <w:rPr>
          <w:i/>
        </w:rPr>
        <w:t>The Innovative University: Changing the DNA of Higher Education from the Inside Out</w:t>
      </w:r>
      <w:r w:rsidR="001F2A24">
        <w:rPr>
          <w:rStyle w:val="FootnoteReference"/>
          <w:i/>
        </w:rPr>
        <w:footnoteReference w:id="43"/>
      </w:r>
      <w:r w:rsidR="001F2A24">
        <w:t>.</w:t>
      </w:r>
    </w:p>
    <w:p w14:paraId="6519494E" w14:textId="77777777" w:rsidR="00352863" w:rsidRDefault="001F2A24" w:rsidP="00352863">
      <w:r>
        <w:t>A correct understanding of those in the movement of the disruption of education is not that they are anticipating declining university enrollment any time soon.</w:t>
      </w:r>
      <w:r w:rsidR="005E5BF2">
        <w:t xml:space="preserve"> </w:t>
      </w:r>
      <w:r w:rsidR="00016D24">
        <w:t xml:space="preserve">Southern New Hampshire University and Western Governors University‎ are mentioned as leaders in </w:t>
      </w:r>
      <w:r w:rsidR="005E5BF2">
        <w:t>competency-based</w:t>
      </w:r>
      <w:r w:rsidR="00016D24">
        <w:t xml:space="preserve"> education. </w:t>
      </w:r>
      <w:r w:rsidR="001E49E1">
        <w:t xml:space="preserve">In one part of </w:t>
      </w:r>
      <w:proofErr w:type="spellStart"/>
      <w:r w:rsidR="001E49E1">
        <w:t>Selingo’s</w:t>
      </w:r>
      <w:proofErr w:type="spellEnd"/>
      <w:r w:rsidR="001E49E1">
        <w:t xml:space="preserve"> College (Un)Bound, he mentions Paul LeBlanc. </w:t>
      </w:r>
      <w:r w:rsidR="00016D24">
        <w:t>Paul LeBlanc identifies himself as a disrupter</w:t>
      </w:r>
      <w:r w:rsidR="009E124C">
        <w:t xml:space="preserve"> in the vein of Christiansen</w:t>
      </w:r>
      <w:r w:rsidR="00016D24">
        <w:t xml:space="preserve">. He considers the online learning revolution old news and </w:t>
      </w:r>
      <w:r w:rsidR="005E5BF2">
        <w:t>competency-based</w:t>
      </w:r>
      <w:r w:rsidR="00016D24">
        <w:t xml:space="preserve"> education is the more recent innovation. LeBlanc believes that </w:t>
      </w:r>
      <w:r w:rsidR="005E5BF2">
        <w:t>competency-based</w:t>
      </w:r>
      <w:r w:rsidR="00016D24">
        <w:t xml:space="preserve"> education will come from existing </w:t>
      </w:r>
      <w:proofErr w:type="gramStart"/>
      <w:r w:rsidR="00016D24">
        <w:t>institutions, and</w:t>
      </w:r>
      <w:proofErr w:type="gramEnd"/>
      <w:r w:rsidR="00016D24">
        <w:t xml:space="preserve"> will exist alongside four-year programs.</w:t>
      </w:r>
    </w:p>
    <w:p w14:paraId="64D3F07B" w14:textId="6A590AB6" w:rsidR="00CD2F4F" w:rsidRDefault="00352863" w:rsidP="00352863">
      <w:r>
        <w:t xml:space="preserve">In 2011, the same year that Christiansen </w:t>
      </w:r>
      <w:r w:rsidR="00A64633">
        <w:t xml:space="preserve">noticed the present-tense changing of higher education’s DNA, </w:t>
      </w:r>
      <w:r w:rsidR="00CD2F4F">
        <w:t xml:space="preserve">Sebastian </w:t>
      </w:r>
      <w:proofErr w:type="spellStart"/>
      <w:r w:rsidR="00CD2F4F">
        <w:t>Thrun</w:t>
      </w:r>
      <w:proofErr w:type="spellEnd"/>
      <w:r w:rsidR="00CD2F4F">
        <w:t xml:space="preserve"> manifested the Christiansen of 2008 and ignored the Christiansen of 2011 by relinquishing his tenure at Stanford to found Udacity. Udacity's first courses began taking students in early 2012</w:t>
      </w:r>
      <w:r w:rsidR="00967346">
        <w:rPr>
          <w:rStyle w:val="FootnoteReference"/>
        </w:rPr>
        <w:footnoteReference w:id="44"/>
      </w:r>
      <w:r w:rsidR="00CD2F4F">
        <w:t>. Only in 2013 did Udacity begin contributing to changing the university by offering some courses for college credit. In 2014, Udacity entered into its first full-fledged partnership with a university. The same year, Udacity released its first signature alternative credential, the Nanodegree. Excitement filled the air. About that time, as Craig informs us, the evidence on weak outcomes for Udacity's courses and other MOOCs began to cause significant doubt. In 2017, Udacity Connect was launched. This product is a hybrid learning solution which occurs partly in a classroom setting and partly online. Now that the results have started coming in, as earlier mentioned, this approach has shown about a 500% increase in graduation rate.</w:t>
      </w:r>
    </w:p>
    <w:p w14:paraId="4D5817C1" w14:textId="71C7AB42" w:rsidR="00CD2F4F" w:rsidRDefault="00CD2F4F" w:rsidP="00CD2F4F">
      <w:r>
        <w:t xml:space="preserve">In 2016, Khan Academy applied for the $100 million dollar grant by 100&amp;Change </w:t>
      </w:r>
      <w:proofErr w:type="gramStart"/>
      <w:r>
        <w:t>in order to</w:t>
      </w:r>
      <w:proofErr w:type="gramEnd"/>
      <w:r>
        <w:t xml:space="preserve"> create a globally recognized secondary education diploma. 1904 organizations applied for the grant</w:t>
      </w:r>
      <w:r w:rsidR="00967346">
        <w:rPr>
          <w:rStyle w:val="FootnoteReference"/>
        </w:rPr>
        <w:footnoteReference w:id="45"/>
      </w:r>
      <w:r>
        <w:t>. 1870 proposals are documented in a solution explorer made public by 100&amp;Change</w:t>
      </w:r>
      <w:r w:rsidR="008F798B">
        <w:rPr>
          <w:rStyle w:val="FootnoteReference"/>
        </w:rPr>
        <w:footnoteReference w:id="46"/>
      </w:r>
      <w:r>
        <w:t>. 375 proposals are in the education category. When decisions were rendered in 2017, Khan Academy's proposal earned an honorable mention as one of the top ten in the education category, but it did not place among the 8 semi-finalists across categories and did not earn a financial award</w:t>
      </w:r>
      <w:r w:rsidR="008F798B">
        <w:rPr>
          <w:rStyle w:val="FootnoteReference"/>
        </w:rPr>
        <w:footnoteReference w:id="47"/>
      </w:r>
      <w:r>
        <w:t>.</w:t>
      </w:r>
    </w:p>
    <w:p w14:paraId="47943482" w14:textId="620C2AE2" w:rsidR="00CD2F4F" w:rsidRDefault="00CD2F4F" w:rsidP="00CD2F4F">
      <w:r>
        <w:t xml:space="preserve">Like Udacity, Khan Academy is an online learning provider which went through a period of immense excitement followed by failure, </w:t>
      </w:r>
      <w:proofErr w:type="gramStart"/>
      <w:r>
        <w:t>and also</w:t>
      </w:r>
      <w:proofErr w:type="gramEnd"/>
      <w:r>
        <w:t xml:space="preserve"> like Udacity, Khan Academy achieved a remarkable success on a different project during the same </w:t>
      </w:r>
      <w:proofErr w:type="spellStart"/>
      <w:r>
        <w:t>calander</w:t>
      </w:r>
      <w:proofErr w:type="spellEnd"/>
      <w:r>
        <w:t xml:space="preserve"> year as their disenchanting loss. In 2017, Khan Academy released the results of a study they conducted with the College Board. It showed that studying for the SAT using Khan Academy is associated with 115-point average score increase</w:t>
      </w:r>
      <w:r w:rsidR="008C2731">
        <w:rPr>
          <w:rStyle w:val="FootnoteReference"/>
        </w:rPr>
        <w:footnoteReference w:id="48"/>
      </w:r>
      <w:r>
        <w:t>. Khan Academy also became the official practice partner for AP exams in 2017</w:t>
      </w:r>
      <w:r w:rsidR="008C2731">
        <w:rPr>
          <w:rStyle w:val="FootnoteReference"/>
        </w:rPr>
        <w:footnoteReference w:id="49"/>
      </w:r>
      <w:r>
        <w:t>.</w:t>
      </w:r>
    </w:p>
    <w:p w14:paraId="1BAF4090" w14:textId="77777777" w:rsidR="00CD2F4F" w:rsidRDefault="00CD2F4F" w:rsidP="00CD2F4F"/>
    <w:p w14:paraId="6BBA4549" w14:textId="0CEFE69E" w:rsidR="00CD2F4F" w:rsidRDefault="00CD2F4F" w:rsidP="00CD2F4F">
      <w:r>
        <w:t>Not only do Udacity and Khan Academy share a Jungian hero typology, they have both evolved from traditional learning competitors to traditional learning allies. Like Coursera, edX, and others, the best-of-breed alternative learning providers of today are not substituting for traditional education providers, they are integrating with them. Likewise, the best-of-breed traditional providers are not rejecting new learning approaches, they are partnering with them, awarding credit to students for alternative learning, and even supplying online education providers with content.</w:t>
      </w:r>
    </w:p>
    <w:p w14:paraId="13CBDD7B" w14:textId="6A6EF0E5" w:rsidR="00CD2F4F" w:rsidRDefault="00CD2F4F" w:rsidP="00CD2F4F">
      <w:r>
        <w:t xml:space="preserve">While literature can be found further back that applies in ways increasingly less direct, I consider Christiansen's 2008 piece to be a watermark in the literature. With Udacity's course offerings in early 2012, I observe a bright line in the actualization of modern alternative education provision. With Udacity, Coursera, Khan Academy, and other major online learning providers having been through significant revision in just a few years, I consider 2018 to be a new age of alternative education. Significant changes </w:t>
      </w:r>
      <w:proofErr w:type="spellStart"/>
      <w:r>
        <w:t>occured</w:t>
      </w:r>
      <w:proofErr w:type="spellEnd"/>
      <w:r>
        <w:t xml:space="preserve"> during 2017, so 2018 will have been the first year in which these changes were available throughout the period.</w:t>
      </w:r>
    </w:p>
    <w:p w14:paraId="043D7A5B" w14:textId="3D1C758E" w:rsidR="00CD2F4F" w:rsidRDefault="00CD2F4F" w:rsidP="00CD2F4F">
      <w:r>
        <w:t xml:space="preserve">The general trend is toward integration of traditional and alternative providers, but alternative learning systems are heterogenous and these heterogenous solutions are not equal in optimality for consumption by any </w:t>
      </w:r>
      <w:proofErr w:type="gramStart"/>
      <w:r>
        <w:t>particular individual</w:t>
      </w:r>
      <w:proofErr w:type="gramEnd"/>
      <w:r>
        <w:t xml:space="preserve">, nor at the social level. Portfolios, and digital </w:t>
      </w:r>
      <w:proofErr w:type="gramStart"/>
      <w:r>
        <w:t>portfolios in particular, are</w:t>
      </w:r>
      <w:proofErr w:type="gramEnd"/>
      <w:r>
        <w:t xml:space="preserve"> in demand by employers. Digital portfolios have recently become trendy among universities, while they have been in fashion with alternative providers for some time. Standardized portfolio artifact generation and evaluation is becoming more standardized over time, assisted by certain dedicated evaluation providers.</w:t>
      </w:r>
    </w:p>
    <w:p w14:paraId="1996C3E7" w14:textId="0B6822B5" w:rsidR="00CD2F4F" w:rsidRDefault="00CD2F4F" w:rsidP="00CD2F4F">
      <w:r>
        <w:t xml:space="preserve">Apprenticeship programs are making a comeback as a matter of fact, although it is controversial to claim that this is an obvious social good. These programs never truly left Germany, but they have revived from slumber in the UK. Under Trump, the US saw a major step forward for a </w:t>
      </w:r>
      <w:proofErr w:type="gramStart"/>
      <w:r>
        <w:t>particular implementation</w:t>
      </w:r>
      <w:proofErr w:type="gramEnd"/>
      <w:r>
        <w:t xml:space="preserve"> of apprenticeship</w:t>
      </w:r>
      <w:r w:rsidR="00751A9F">
        <w:rPr>
          <w:rStyle w:val="FootnoteReference"/>
        </w:rPr>
        <w:footnoteReference w:id="50"/>
      </w:r>
      <w:r>
        <w:t xml:space="preserve">, but it has been a controversial policy implementation, as discussed in the </w:t>
      </w:r>
      <w:proofErr w:type="spellStart"/>
      <w:r>
        <w:t>atemporal</w:t>
      </w:r>
      <w:proofErr w:type="spellEnd"/>
      <w:r>
        <w:t xml:space="preserve"> findings section. Like apprenticeship, many scholars find themselves supporting evidence-based learning, even while criticizing </w:t>
      </w:r>
      <w:proofErr w:type="gramStart"/>
      <w:r>
        <w:t>particular implementations</w:t>
      </w:r>
      <w:proofErr w:type="gramEnd"/>
      <w:r>
        <w:t xml:space="preserve"> of learning assessment. It is particularly fashionable to criticize standardized examination.</w:t>
      </w:r>
    </w:p>
    <w:p w14:paraId="0D6FC95B" w14:textId="09A5D2F7" w:rsidR="00CD2F4F" w:rsidRDefault="00CD2F4F" w:rsidP="00CD2F4F">
      <w:r>
        <w:t xml:space="preserve">Standardized exams typically have certain question formats, including multiple choice or essay response questions which may be graded according to a rubric. Examples of standardized exams include the SAT, the ACT, the international PISA, and many state-level exams including the Texas STAAR. Standardized exams are generally cost-effective means of generating meaningful signals, but these signals are often systematically imperfect, and those imperfections are the source of much discussion. While portfolios may be </w:t>
      </w:r>
      <w:r w:rsidR="00054D48">
        <w:t>costlier</w:t>
      </w:r>
      <w:r>
        <w:t xml:space="preserve"> to generate and evaluate, they seem to be substantially less controversial in both the literature and when surveying professionals. Portfolios may include a broad range of expression, and the complexity of normalizing these expressions may be one reason for a silence in the academic literature. The best explanation for high professional opinion, on the other hand, may be plain efficacy of skill demonstration by the candidate to a knowledgeable portfolio reviewer.</w:t>
      </w:r>
    </w:p>
    <w:p w14:paraId="399B009C" w14:textId="77777777" w:rsidR="00054D48" w:rsidRDefault="00054D48" w:rsidP="00CD2F4F"/>
    <w:p w14:paraId="6C67D848" w14:textId="2D7D0C76" w:rsidR="00054D48" w:rsidRPr="00054D48" w:rsidRDefault="00054D48" w:rsidP="00054D48">
      <w:pPr>
        <w:pStyle w:val="ListParagraph"/>
        <w:numPr>
          <w:ilvl w:val="1"/>
          <w:numId w:val="9"/>
        </w:numPr>
        <w:rPr>
          <w:b/>
        </w:rPr>
      </w:pPr>
      <w:proofErr w:type="spellStart"/>
      <w:r w:rsidRPr="00054D48">
        <w:rPr>
          <w:b/>
        </w:rPr>
        <w:lastRenderedPageBreak/>
        <w:t>Atemporal</w:t>
      </w:r>
      <w:proofErr w:type="spellEnd"/>
      <w:r w:rsidRPr="00054D48">
        <w:rPr>
          <w:b/>
        </w:rPr>
        <w:t xml:space="preserve"> Findings in the Academic Literature</w:t>
      </w:r>
    </w:p>
    <w:p w14:paraId="3A60C547" w14:textId="63934339" w:rsidR="00054D48" w:rsidRDefault="00054D48" w:rsidP="00054D48">
      <w:r>
        <w:t>A history of alternative education was just given, evidencing an argument about the directional trend of education. Earlier a similar thing was done with traditional education. This section notes some important points on education which seem to hold in a non-trending way.</w:t>
      </w:r>
    </w:p>
    <w:p w14:paraId="1E53C98C" w14:textId="442A0C24" w:rsidR="00054D48" w:rsidRDefault="00054D48" w:rsidP="00054D48">
      <w:r>
        <w:t>Intellectually, there is a clean distinction between a disruption camp and a non-disruption camp. In the real world, the leaders in either camp exist much more in the middle of the two than toward the extremes. The leading thinkers and practitioners in favor of the university system acknowledge that universities should continue to innovate, and adopting non-traditional features is practically, and in some sense tautologically, the means to that end. The leading thinkers and practitioners opposed to the legacy system acknowledge that the legacy system is firmly entrenched and will continue to be so for many years, and so the optimal course of action for individuals and for society is for new providers to integrate, cooperate, and coordinate with those legacy systems, instead of attempting to steal consumers in a winner-take-all fashion.</w:t>
      </w:r>
    </w:p>
    <w:p w14:paraId="1C09715E" w14:textId="21ECF953" w:rsidR="00054D48" w:rsidRDefault="00054D48" w:rsidP="00054D48">
      <w:r>
        <w:t xml:space="preserve">The result is that leading thinkers and practitioners on both sides largely support both alternative education and traditional education. Moreover, leaders on both sides generally agree on which pedagogies, technologies, and so on, provide optimal results in most cases. A cursory glance at the non-book literature demonstrates the difficulty involved in locating a formal paper with citations </w:t>
      </w:r>
      <w:proofErr w:type="gramStart"/>
      <w:r>
        <w:t>in excess of</w:t>
      </w:r>
      <w:proofErr w:type="gramEnd"/>
      <w:r>
        <w:t xml:space="preserve"> the single digits which promotes the traditional lecture mode of class instruction. I could only find one from by </w:t>
      </w:r>
      <w:proofErr w:type="spellStart"/>
      <w:r>
        <w:t>Kalogeras</w:t>
      </w:r>
      <w:proofErr w:type="spellEnd"/>
      <w:r>
        <w:t xml:space="preserve"> in 1976</w:t>
      </w:r>
      <w:r>
        <w:rPr>
          <w:rStyle w:val="FootnoteReference"/>
        </w:rPr>
        <w:footnoteReference w:id="51"/>
      </w:r>
      <w:r>
        <w:t xml:space="preserve">. While the magazines occasionally headline an article which pretends to defend lecture, seldom make and evidence-based case and often essentially concede the point. Consider *In Defense of the Lecture*, a 2014 article from the Chronicle of Higher Education. This article points out specific virtues of lecture, even while conceding "...lecturing as a means of transferring basic </w:t>
      </w:r>
      <w:proofErr w:type="gramStart"/>
      <w:r>
        <w:t>factual information</w:t>
      </w:r>
      <w:proofErr w:type="gramEnd"/>
      <w:r>
        <w:t xml:space="preserve"> is a poor way to teach. I agree..."</w:t>
      </w:r>
    </w:p>
    <w:p w14:paraId="3C43FEFE" w14:textId="7D46CF90" w:rsidR="00054D48" w:rsidRDefault="00054D48" w:rsidP="00054D48">
      <w:r>
        <w:t xml:space="preserve">The differences in opinion seem rather limited, and they almost universally apply to macroeconomic issues. The closest thing to disagreement on microeconomic choices seems to be </w:t>
      </w:r>
      <w:r w:rsidR="00941F0F">
        <w:t>threefold</w:t>
      </w:r>
      <w:r>
        <w:t>:</w:t>
      </w:r>
    </w:p>
    <w:p w14:paraId="0DF01FD8" w14:textId="44940C21" w:rsidR="00054D48" w:rsidRDefault="00054D48" w:rsidP="00D95F09">
      <w:pPr>
        <w:pStyle w:val="ListParagraph"/>
        <w:numPr>
          <w:ilvl w:val="0"/>
          <w:numId w:val="19"/>
        </w:numPr>
      </w:pPr>
      <w:r>
        <w:t>Some scholars are aware of interesting programs or technologies which other scholars are not aware of.</w:t>
      </w:r>
    </w:p>
    <w:p w14:paraId="05EEA92A" w14:textId="2E5CC271" w:rsidR="00054D48" w:rsidRDefault="00054D48" w:rsidP="00D95F09">
      <w:pPr>
        <w:pStyle w:val="ListParagraph"/>
        <w:numPr>
          <w:ilvl w:val="0"/>
          <w:numId w:val="19"/>
        </w:numPr>
      </w:pPr>
      <w:r>
        <w:t xml:space="preserve">Scholars </w:t>
      </w:r>
      <w:r w:rsidR="00814850">
        <w:t>heterogeneously</w:t>
      </w:r>
      <w:r>
        <w:t xml:space="preserve"> trust the payoff claims of </w:t>
      </w:r>
      <w:proofErr w:type="gramStart"/>
      <w:r>
        <w:t>particular programs</w:t>
      </w:r>
      <w:proofErr w:type="gramEnd"/>
      <w:r>
        <w:t xml:space="preserve"> of alternative learning.</w:t>
      </w:r>
    </w:p>
    <w:p w14:paraId="36E7BE14" w14:textId="7B9F611E" w:rsidR="00054D48" w:rsidRDefault="00054D48" w:rsidP="00D95F09">
      <w:pPr>
        <w:pStyle w:val="ListParagraph"/>
        <w:numPr>
          <w:ilvl w:val="0"/>
          <w:numId w:val="19"/>
        </w:numPr>
      </w:pPr>
      <w:r>
        <w:t xml:space="preserve">Some scholars oppose </w:t>
      </w:r>
      <w:proofErr w:type="gramStart"/>
      <w:r>
        <w:t>particular alternative</w:t>
      </w:r>
      <w:proofErr w:type="gramEnd"/>
      <w:r>
        <w:t xml:space="preserve"> education techniques.</w:t>
      </w:r>
    </w:p>
    <w:p w14:paraId="3F1D8229" w14:textId="0A1A96CD" w:rsidR="00054D48" w:rsidRDefault="00054D48" w:rsidP="00054D48">
      <w:r>
        <w:t>Expanding on the third point above, Eric Hanushek recently stated</w:t>
      </w:r>
      <w:r w:rsidR="00150B55">
        <w:rPr>
          <w:rStyle w:val="FootnoteReference"/>
        </w:rPr>
        <w:footnoteReference w:id="52"/>
      </w:r>
      <w:r>
        <w:t xml:space="preserve"> </w:t>
      </w:r>
      <w:r w:rsidR="00150B55">
        <w:t>“</w:t>
      </w:r>
      <w:r>
        <w:t>We should not delude ourselves into thinking that Trump’s apprenticeship expansion will substitute for our failing K-12 schooling system...Vocationally-trained workers with relatively narrow skills face a harsher labor market with time as the nature of production changes.</w:t>
      </w:r>
      <w:r w:rsidR="00150B55">
        <w:t>”</w:t>
      </w:r>
      <w:r>
        <w:t xml:space="preserve"> Along the same lines, a Brooking study to which Hanushek contributed found that excess utilization of an apprenticeship model at the social level could generate a skill gap</w:t>
      </w:r>
      <w:r w:rsidR="0039429A">
        <w:rPr>
          <w:rStyle w:val="FootnoteReference"/>
        </w:rPr>
        <w:footnoteReference w:id="53"/>
      </w:r>
      <w:r>
        <w:t xml:space="preserve">. Despite Hanushek's </w:t>
      </w:r>
      <w:proofErr w:type="gramStart"/>
      <w:r>
        <w:t>particular position</w:t>
      </w:r>
      <w:proofErr w:type="gramEnd"/>
      <w:r>
        <w:t xml:space="preserve"> on the Trump plan, and perhaps his general opposition </w:t>
      </w:r>
      <w:r>
        <w:lastRenderedPageBreak/>
        <w:t xml:space="preserve">to excess utilization of </w:t>
      </w:r>
      <w:r w:rsidR="00822D76">
        <w:t>apprenticeship</w:t>
      </w:r>
      <w:r>
        <w:t>, it is clear that he does not oppose alternative education writ large, and that he does not deny the utility of vocational training for particular individuals.</w:t>
      </w:r>
    </w:p>
    <w:p w14:paraId="1A217C5D" w14:textId="7209D622" w:rsidR="00054D48" w:rsidRDefault="00054D48" w:rsidP="00054D48">
      <w:r>
        <w:t xml:space="preserve">It is worth mentioning that </w:t>
      </w:r>
      <w:proofErr w:type="gramStart"/>
      <w:r>
        <w:t>both of these</w:t>
      </w:r>
      <w:proofErr w:type="gramEnd"/>
      <w:r>
        <w:t xml:space="preserve"> main microeconomic concerns are being addressed over time by projects like Credential Engine, which seeks to comprehensively catalog non-accredited credentials and standardize their outcome measurement and reporting</w:t>
      </w:r>
      <w:r w:rsidR="00F73D3D">
        <w:rPr>
          <w:rStyle w:val="FootnoteReference"/>
        </w:rPr>
        <w:footnoteReference w:id="54"/>
      </w:r>
      <w:r>
        <w:t>. An alternative strategy is provided by firms like Degreed, which markets a generalized service to measure any skill</w:t>
      </w:r>
      <w:r w:rsidR="00C21106">
        <w:rPr>
          <w:rStyle w:val="FootnoteReference"/>
        </w:rPr>
        <w:footnoteReference w:id="55"/>
      </w:r>
      <w:r>
        <w:t>. This approach simplifies the measurement trust problem from a need to trust heterogenous providers to the need to trust a single provider of learning measurement, Degreed.</w:t>
      </w:r>
    </w:p>
    <w:p w14:paraId="2CEE3F6C" w14:textId="0FA0DE19" w:rsidR="00054D48" w:rsidRDefault="00054D48" w:rsidP="00054D48">
      <w:r>
        <w:t>Many less comprehensive skill measurement providers exist. Pluralsight, for example, is a relatively well known and reputed firm in the IT market. Pluralsight provides a standard measurement service for a specific range of skills</w:t>
      </w:r>
      <w:r w:rsidR="004C12F1">
        <w:rPr>
          <w:rStyle w:val="FootnoteReference"/>
        </w:rPr>
        <w:footnoteReference w:id="56"/>
      </w:r>
      <w:r>
        <w:t xml:space="preserve">. This measurement process obtains independent from where the learning or skill development </w:t>
      </w:r>
      <w:r w:rsidR="004C12F1">
        <w:t>occurred</w:t>
      </w:r>
      <w:r>
        <w:t>. In this sense, employers can choose to trust a skill measurement provider instead of directly trusting a learning provider. This simplifies the analysis problem for employers, and it also creates an additional incentive for learning providers to provide good content. If many students pass through an alternative learning process, then perform poorly during standard evaluation, the poor performance becomes attributable in part or whole to that alternative learning process.</w:t>
      </w:r>
    </w:p>
    <w:p w14:paraId="6D654A86" w14:textId="6EA12FA0" w:rsidR="00054D48" w:rsidRDefault="00054D48" w:rsidP="00054D48">
      <w:r>
        <w:t>The main sources of debate seem to be on macroeconomic concerns. These concerns are completely out of my interest, but they are worth noting:</w:t>
      </w:r>
    </w:p>
    <w:p w14:paraId="39BC5990" w14:textId="77777777" w:rsidR="00CF1346" w:rsidRDefault="00054D48" w:rsidP="00CF1346">
      <w:pPr>
        <w:pStyle w:val="ListParagraph"/>
        <w:numPr>
          <w:ilvl w:val="0"/>
          <w:numId w:val="16"/>
        </w:numPr>
      </w:pPr>
      <w:r>
        <w:t>What is the best course of action for the mean or median student?</w:t>
      </w:r>
    </w:p>
    <w:p w14:paraId="0856E01B" w14:textId="77777777" w:rsidR="00CF1346" w:rsidRDefault="00054D48" w:rsidP="00CF1346">
      <w:pPr>
        <w:pStyle w:val="ListParagraph"/>
        <w:numPr>
          <w:ilvl w:val="0"/>
          <w:numId w:val="16"/>
        </w:numPr>
      </w:pPr>
      <w:r>
        <w:t xml:space="preserve"> What should be done with public funds for education?</w:t>
      </w:r>
    </w:p>
    <w:p w14:paraId="4F3776B6" w14:textId="7CA95CB7" w:rsidR="00054D48" w:rsidRDefault="00054D48" w:rsidP="00CF1346">
      <w:pPr>
        <w:pStyle w:val="ListParagraph"/>
        <w:numPr>
          <w:ilvl w:val="0"/>
          <w:numId w:val="16"/>
        </w:numPr>
      </w:pPr>
      <w:r>
        <w:t>Should the existing educational requirements for certain professional licenses be reevaluated, or should certain licenses be created or destroyed?</w:t>
      </w:r>
    </w:p>
    <w:p w14:paraId="1BA995F2" w14:textId="521831EA" w:rsidR="00054D48" w:rsidRDefault="00054D48" w:rsidP="00054D48">
      <w:r>
        <w:t xml:space="preserve">It seems to me that if there is to be any meaning to the labelling of a scholar as in favor of traditional education, it merely means that, with respect to the macroeconomic points mentioned above, the scholar believes at least one of, and possibly </w:t>
      </w:r>
      <w:proofErr w:type="gramStart"/>
      <w:r>
        <w:t>all of</w:t>
      </w:r>
      <w:proofErr w:type="gramEnd"/>
      <w:r>
        <w:t>, the following:</w:t>
      </w:r>
    </w:p>
    <w:p w14:paraId="7A674906" w14:textId="443A647B" w:rsidR="0087329C" w:rsidRDefault="00054D48" w:rsidP="00035E26">
      <w:pPr>
        <w:pStyle w:val="ListParagraph"/>
        <w:numPr>
          <w:ilvl w:val="0"/>
          <w:numId w:val="17"/>
        </w:numPr>
      </w:pPr>
      <w:r>
        <w:t xml:space="preserve">The mean or median student should obtain a </w:t>
      </w:r>
      <w:r w:rsidR="002A4FCD">
        <w:t>four-year</w:t>
      </w:r>
      <w:r>
        <w:t xml:space="preserve"> degree.</w:t>
      </w:r>
    </w:p>
    <w:p w14:paraId="79DEB373" w14:textId="77777777" w:rsidR="0087329C" w:rsidRDefault="00054D48" w:rsidP="0087329C">
      <w:pPr>
        <w:pStyle w:val="ListParagraph"/>
        <w:numPr>
          <w:ilvl w:val="0"/>
          <w:numId w:val="18"/>
        </w:numPr>
      </w:pPr>
      <w:r>
        <w:t>The growth in public education spending should remain constant, or perhaps grow.</w:t>
      </w:r>
    </w:p>
    <w:p w14:paraId="2403530B" w14:textId="28199E68" w:rsidR="00054D48" w:rsidRDefault="0087329C" w:rsidP="0087329C">
      <w:pPr>
        <w:pStyle w:val="ListParagraph"/>
        <w:numPr>
          <w:ilvl w:val="0"/>
          <w:numId w:val="18"/>
        </w:numPr>
      </w:pPr>
      <w:r>
        <w:t>A</w:t>
      </w:r>
      <w:r w:rsidR="00054D48">
        <w:t>t least some professions benefit from licensing, and at least some licenses benefit from requiring accredited education.</w:t>
      </w:r>
    </w:p>
    <w:p w14:paraId="3B62889F" w14:textId="49D810DC" w:rsidR="00054D48" w:rsidRDefault="00054D48" w:rsidP="00054D48">
      <w:r>
        <w:t>Caplan would represent, then, a non-traditional position. Hanushek would represent a moderate position between these extremes, arguing that policymakers should not grow spending, or perhaps cut it non-drastically, but mainly focus on spending in a more intelligent way</w:t>
      </w:r>
      <w:r w:rsidR="002A4FCD">
        <w:rPr>
          <w:rStyle w:val="FootnoteReference"/>
        </w:rPr>
        <w:footnoteReference w:id="57"/>
      </w:r>
      <w:r>
        <w:t>.</w:t>
      </w:r>
    </w:p>
    <w:p w14:paraId="3665E42E" w14:textId="63285A5E" w:rsidR="00E32970" w:rsidRDefault="00054D48" w:rsidP="002C0AC6">
      <w:r>
        <w:t xml:space="preserve">Under this macroeconomic categorization, even the proponent of traditional education need not say a </w:t>
      </w:r>
      <w:proofErr w:type="gramStart"/>
      <w:r>
        <w:t>particular student</w:t>
      </w:r>
      <w:proofErr w:type="gramEnd"/>
      <w:r>
        <w:t xml:space="preserve"> should necessarily obtain a </w:t>
      </w:r>
      <w:r w:rsidR="002A4FCD">
        <w:t>four-year</w:t>
      </w:r>
      <w:r>
        <w:t xml:space="preserve"> degree, although it would seem to be a null hypothesis. It is this null hypothesizing mechanism which finally allows us to obtain some meaningful </w:t>
      </w:r>
      <w:r>
        <w:lastRenderedPageBreak/>
        <w:t>distinction at the microeconomic level, whereas breaking scholars into camps according to their attitude on disruption seems like a red herring.</w:t>
      </w:r>
    </w:p>
    <w:p w14:paraId="67D13BB8" w14:textId="77777777" w:rsidR="00556F58" w:rsidRDefault="00556F58"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w:t>
      </w:r>
      <w:r>
        <w:lastRenderedPageBreak/>
        <w:t>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59F92908" w:rsidR="00C052D0" w:rsidRDefault="00CA1274" w:rsidP="00146278">
      <w:r>
        <w:t xml:space="preserve">6 of the 8 systematically derived models are reported in Table </w:t>
      </w:r>
      <w:r w:rsidR="0041092A">
        <w:t>4</w:t>
      </w:r>
      <w:r>
        <w:t>.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658C65A9" w:rsidR="008379FC" w:rsidRPr="00195E4E" w:rsidRDefault="008379FC" w:rsidP="008379FC">
      <w:pPr>
        <w:rPr>
          <w:b/>
        </w:rPr>
      </w:pPr>
      <w:r>
        <w:rPr>
          <w:b/>
        </w:rPr>
        <w:t xml:space="preserve">Table </w:t>
      </w:r>
      <w:r w:rsidR="0062742B">
        <w:rPr>
          <w:b/>
        </w:rPr>
        <w:t>3</w:t>
      </w:r>
      <w:r>
        <w:rPr>
          <w:b/>
        </w:rPr>
        <w:t xml:space="preserve"> – Cross Tab VOI by is2018LongModelResponse</w:t>
      </w:r>
    </w:p>
    <w:p w14:paraId="7561477D" w14:textId="1C89EF6C" w:rsidR="008379FC" w:rsidRDefault="00FF02AB" w:rsidP="008379FC">
      <w:r>
        <w:rPr>
          <w:noProof/>
        </w:rPr>
        <w:lastRenderedPageBreak/>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58"/>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w:t>
      </w:r>
      <w:r>
        <w:lastRenderedPageBreak/>
        <w:t>political conservatism,</w:t>
      </w:r>
      <w:r w:rsidR="00930BA8">
        <w:t xml:space="preserve"> and conservatism is thought to move with status quo bias</w:t>
      </w:r>
      <w:r w:rsidR="00930BA8">
        <w:rPr>
          <w:rStyle w:val="FootnoteReference"/>
        </w:rPr>
        <w:footnoteReference w:id="59"/>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60"/>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61"/>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w:t>
      </w:r>
      <w:r w:rsidR="000A6957">
        <w:lastRenderedPageBreak/>
        <w:t xml:space="preserve">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w:t>
      </w:r>
      <w:r w:rsidR="00FD27B4">
        <w:lastRenderedPageBreak/>
        <w:t xml:space="preserve">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62"/>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63"/>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64"/>
      </w:r>
      <w:r w:rsidR="00C8272C">
        <w:t xml:space="preserve">. </w:t>
      </w:r>
      <w:r w:rsidR="00C206F0">
        <w:t>Let X represent expected conventionality, then</w:t>
      </w:r>
      <w:r w:rsidR="00C8272C">
        <w:t xml:space="preserve"> two-factor model takes the form</w:t>
      </w:r>
      <w:r w:rsidR="0023699A">
        <w:rPr>
          <w:rStyle w:val="FootnoteReference"/>
        </w:rPr>
        <w:footnoteReference w:id="65"/>
      </w:r>
      <w:r w:rsidR="00C8272C">
        <w:t>:</w:t>
      </w:r>
    </w:p>
    <w:p w14:paraId="639859B0" w14:textId="4109B834" w:rsidR="00C8272C" w:rsidRDefault="00A22ED6" w:rsidP="001130C3">
      <w:pPr>
        <w:jc w:val="center"/>
      </w:pPr>
      <w:r>
        <w:rPr>
          <w:noProof/>
        </w:rPr>
        <w:lastRenderedPageBreak/>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66"/>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 normalization of alternative credentials as a mechanism toward eventual recovery in entry-level suitability.</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 xml:space="preserve">when noting that </w:t>
      </w:r>
      <w:r w:rsidR="005136D2">
        <w:lastRenderedPageBreak/>
        <w:t>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lastRenderedPageBreak/>
        <w:t>Other Interesting Results</w:t>
      </w:r>
    </w:p>
    <w:p w14:paraId="4984180E" w14:textId="6B9B9C16" w:rsidR="00EB3C48" w:rsidRDefault="005578FB" w:rsidP="00EB3C48">
      <w:r>
        <w:t>Previous research found student indifference toward debt</w:t>
      </w:r>
      <w:r>
        <w:rPr>
          <w:rStyle w:val="FootnoteReference"/>
        </w:rPr>
        <w:footnoteReference w:id="67"/>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60E34F8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Tables 4 and 5</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633BC2AA" w:rsidR="003257B4" w:rsidRDefault="003257B4" w:rsidP="00136C1A">
      <w:r>
        <w:t>Plausible explanations for elderly favorability include memory of a time before the 1980s when a degree wasn’t as essential</w:t>
      </w:r>
      <w:r w:rsidR="008B66FC">
        <w:t xml:space="preserve">. These individuals have also often obtained a degree and worked for a substantial </w:t>
      </w:r>
      <w:r w:rsidR="008B66FC">
        <w:lastRenderedPageBreak/>
        <w:t>amount of time, and they may have noticed only a small attainment of job-related skills from the degree. Younger individuals may have a lack of skin in the game and a longer time horizon for repayment.</w:t>
      </w:r>
    </w:p>
    <w:p w14:paraId="2B3DF5E3" w14:textId="77777777" w:rsidR="00E42E89" w:rsidRDefault="00E42E89" w:rsidP="005578FB"/>
    <w:p w14:paraId="1CE15212" w14:textId="12233D4F" w:rsidR="00E42E89" w:rsidRDefault="0062742B" w:rsidP="00E42E89">
      <w:pPr>
        <w:rPr>
          <w:b/>
        </w:rPr>
      </w:pPr>
      <w:r>
        <w:rPr>
          <w:b/>
        </w:rPr>
        <w:t>Table 4</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2B74A21B" w:rsidR="0062742B" w:rsidRPr="0062742B" w:rsidRDefault="0062742B" w:rsidP="005578FB">
      <w:pPr>
        <w:rPr>
          <w:b/>
        </w:rPr>
      </w:pPr>
      <w:r w:rsidRPr="0062742B">
        <w:rPr>
          <w:b/>
        </w:rPr>
        <w:t>Table 5</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lastRenderedPageBreak/>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68"/>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69"/>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t>
      </w:r>
      <w:r>
        <w:lastRenderedPageBreak/>
        <w:t xml:space="preserve">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70"/>
      </w:r>
      <w:r w:rsidR="00C07CBD">
        <w:t>. Years later, in 2018, a well-known salary aggregator called Glassdoor reported on 15 major companies, including Google, which no longer required a degree</w:t>
      </w:r>
      <w:r w:rsidR="00C07CBD">
        <w:rPr>
          <w:rStyle w:val="FootnoteReference"/>
        </w:rPr>
        <w:footnoteReference w:id="71"/>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72"/>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44D139B7"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77E92FAC" w14:textId="77777777" w:rsidR="009D4990" w:rsidRDefault="009D4990" w:rsidP="00A92670"/>
    <w:p w14:paraId="5A28F546" w14:textId="59042DBE" w:rsidR="00AD2011" w:rsidRDefault="001C7557" w:rsidP="00A92670">
      <w:r>
        <w:t>***</w:t>
      </w:r>
      <w:r w:rsidR="002308B1">
        <w:t xml:space="preserve"> TODO</w:t>
      </w:r>
      <w:r w:rsidR="00026CC1">
        <w:t xml:space="preserve"> - </w:t>
      </w:r>
      <w:r w:rsidR="00C96BDD">
        <w:t>Table of models, prefer 2019 maximum adjusted r-squared model, discuss q-complexity and importance of the weak model.</w:t>
      </w:r>
      <w:r w:rsidR="00EE78BA">
        <w:t xml:space="preserve"> Nonbinary</w:t>
      </w:r>
      <w:bookmarkStart w:id="0" w:name="_GoBack"/>
      <w:bookmarkEnd w:id="0"/>
    </w:p>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73E4FBE6" w:rsidR="00AD2011" w:rsidRDefault="00AD2011"/>
    <w:p w14:paraId="32A0A110" w14:textId="574FBC0D" w:rsidR="00C57E63" w:rsidRDefault="00C57E63">
      <w:r>
        <w:br w:type="page"/>
      </w:r>
    </w:p>
    <w:p w14:paraId="28EE2560" w14:textId="1445D416" w:rsidR="00C57E63" w:rsidRDefault="00C57E63">
      <w:pPr>
        <w:rPr>
          <w:b/>
        </w:rPr>
      </w:pPr>
      <w:r>
        <w:rPr>
          <w:b/>
        </w:rPr>
        <w:lastRenderedPageBreak/>
        <w:t>Appendix 3 – Table of Variables</w:t>
      </w:r>
    </w:p>
    <w:p w14:paraId="55E61886" w14:textId="7FD26AD8" w:rsidR="00C57E63" w:rsidRDefault="00C57E63"/>
    <w:p w14:paraId="510D1612" w14:textId="77777777" w:rsidR="00C57E63" w:rsidRPr="00C57E63" w:rsidRDefault="00C57E63"/>
    <w:sectPr w:rsidR="00C57E63" w:rsidRPr="00C57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66230" w14:textId="77777777" w:rsidR="00F67266" w:rsidRDefault="00F67266" w:rsidP="00BA4695">
      <w:pPr>
        <w:spacing w:after="0" w:line="240" w:lineRule="auto"/>
      </w:pPr>
      <w:r>
        <w:separator/>
      </w:r>
    </w:p>
  </w:endnote>
  <w:endnote w:type="continuationSeparator" w:id="0">
    <w:p w14:paraId="31177301" w14:textId="77777777" w:rsidR="00F67266" w:rsidRDefault="00F67266"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0ED7F" w14:textId="77777777" w:rsidR="00F67266" w:rsidRDefault="00F67266" w:rsidP="00BA4695">
      <w:pPr>
        <w:spacing w:after="0" w:line="240" w:lineRule="auto"/>
      </w:pPr>
      <w:r>
        <w:separator/>
      </w:r>
    </w:p>
  </w:footnote>
  <w:footnote w:type="continuationSeparator" w:id="0">
    <w:p w14:paraId="614DCDB4" w14:textId="77777777" w:rsidR="00F67266" w:rsidRDefault="00F67266" w:rsidP="00BA4695">
      <w:pPr>
        <w:spacing w:after="0" w:line="240" w:lineRule="auto"/>
      </w:pPr>
      <w:r>
        <w:continuationSeparator/>
      </w:r>
    </w:p>
  </w:footnote>
  <w:footnote w:id="1">
    <w:p w14:paraId="204795CE" w14:textId="313FF727" w:rsidR="00BE34AD" w:rsidRDefault="00BE34A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BE34AD" w:rsidRDefault="00BE34A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BE34AD" w:rsidRDefault="00BE34A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BE34AD" w:rsidRDefault="00BE34A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BE34AD" w:rsidRPr="0069539E" w:rsidRDefault="00BE34A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BE34AD" w:rsidRDefault="00BE34A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BE34AD" w:rsidRDefault="00BE34A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BE34AD" w:rsidRDefault="00BE34A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BE34AD" w:rsidRDefault="00BE34A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BE34AD" w:rsidRDefault="00BE34A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BE34AD" w:rsidRPr="002C3BC9" w:rsidRDefault="00BE34A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BE34AD" w:rsidRDefault="00BE34A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BE34AD" w:rsidRDefault="00BE34A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BE34AD" w:rsidRDefault="00BE34A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BE34AD" w:rsidRDefault="00BE34A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BE34AD" w:rsidRDefault="00BE34A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BE34AD" w:rsidRDefault="00BE34A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BE34AD" w:rsidRDefault="00BE34A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BE34AD" w:rsidRDefault="00BE34A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BE34AD" w:rsidRDefault="00BE34A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BE34AD" w:rsidRDefault="00BE34A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BE34AD" w:rsidRDefault="00BE34A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BE34AD" w:rsidRDefault="00BE34A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BE34AD" w:rsidRDefault="00BE34A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BE34AD" w:rsidRDefault="00BE34A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BE34AD" w:rsidRDefault="00BE34A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BE34AD" w:rsidRDefault="00BE34A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BE34AD" w:rsidRDefault="00BE34A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BE34AD" w:rsidRDefault="00BE34A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BE34AD" w:rsidRDefault="00BE34AD">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213CB26B" w14:textId="530D42E0" w:rsidR="00BE34AD" w:rsidRDefault="00BE34AD">
      <w:pPr>
        <w:pStyle w:val="FootnoteText"/>
      </w:pPr>
      <w:r>
        <w:rPr>
          <w:rStyle w:val="FootnoteReference"/>
        </w:rPr>
        <w:footnoteRef/>
      </w:r>
      <w:r>
        <w:t xml:space="preserve"> </w:t>
      </w:r>
      <w:r>
        <w:rPr>
          <w:rFonts w:ascii="Arial" w:hAnsi="Arial" w:cs="Arial"/>
          <w:color w:val="222222"/>
          <w:shd w:val="clear" w:color="auto" w:fill="FFFFFF"/>
        </w:rPr>
        <w:t xml:space="preserve">Aron, </w:t>
      </w:r>
      <w:proofErr w:type="spellStart"/>
      <w:r>
        <w:rPr>
          <w:rFonts w:ascii="Arial" w:hAnsi="Arial" w:cs="Arial"/>
          <w:color w:val="222222"/>
          <w:shd w:val="clear" w:color="auto" w:fill="FFFFFF"/>
        </w:rPr>
        <w:t>Laudan</w:t>
      </w:r>
      <w:proofErr w:type="spellEnd"/>
      <w:r>
        <w:rPr>
          <w:rFonts w:ascii="Arial" w:hAnsi="Arial" w:cs="Arial"/>
          <w:color w:val="222222"/>
          <w:shd w:val="clear" w:color="auto" w:fill="FFFFFF"/>
        </w:rPr>
        <w:t xml:space="preserve"> Y. "An Overview of Alternative Education." </w:t>
      </w:r>
      <w:r>
        <w:rPr>
          <w:rFonts w:ascii="Arial" w:hAnsi="Arial" w:cs="Arial"/>
          <w:i/>
          <w:iCs/>
          <w:color w:val="222222"/>
          <w:shd w:val="clear" w:color="auto" w:fill="FFFFFF"/>
        </w:rPr>
        <w:t>Urban Institute (NJ1)</w:t>
      </w:r>
      <w:r>
        <w:rPr>
          <w:rFonts w:ascii="Arial" w:hAnsi="Arial" w:cs="Arial"/>
          <w:color w:val="222222"/>
          <w:shd w:val="clear" w:color="auto" w:fill="FFFFFF"/>
        </w:rPr>
        <w:t> (2006).</w:t>
      </w:r>
    </w:p>
  </w:footnote>
  <w:footnote w:id="32">
    <w:p w14:paraId="38694759" w14:textId="3929697A" w:rsidR="00BE34AD" w:rsidRDefault="00BE34AD">
      <w:pPr>
        <w:pStyle w:val="FootnoteText"/>
      </w:pPr>
      <w:r>
        <w:rPr>
          <w:rStyle w:val="FootnoteReference"/>
        </w:rPr>
        <w:footnoteRef/>
      </w:r>
      <w:r>
        <w:t xml:space="preserve"> </w:t>
      </w:r>
      <w:r w:rsidRPr="00E32970">
        <w:t xml:space="preserve">Lange, Cheryl M., and Sandra J. Sletten. "Alternative Education: A Brief History and Research Synthesis." For full text: http://www. </w:t>
      </w:r>
      <w:proofErr w:type="spellStart"/>
      <w:r w:rsidRPr="00E32970">
        <w:t>nasdse</w:t>
      </w:r>
      <w:proofErr w:type="spellEnd"/>
      <w:r w:rsidRPr="00E32970">
        <w:t>. org/forum. htm., 2002.</w:t>
      </w:r>
    </w:p>
  </w:footnote>
  <w:footnote w:id="33">
    <w:p w14:paraId="73F222AF" w14:textId="6344AEB9" w:rsidR="00BE34AD" w:rsidRDefault="00BE34AD">
      <w:pPr>
        <w:pStyle w:val="FootnoteText"/>
      </w:pPr>
      <w:r>
        <w:rPr>
          <w:rStyle w:val="FootnoteReference"/>
        </w:rPr>
        <w:footnoteRef/>
      </w:r>
      <w:r>
        <w:t xml:space="preserve"> </w:t>
      </w:r>
      <w:r w:rsidRPr="00914CF4">
        <w:t>Dill, Patricia L., and Tracy B. Henley. "Stressors of college: A comparison of traditional and nontraditional students." The Journal of Psychology 132.1 (1998): 25-32.</w:t>
      </w:r>
    </w:p>
  </w:footnote>
  <w:footnote w:id="34">
    <w:p w14:paraId="7ECB0002" w14:textId="3BB90CEA" w:rsidR="00BE34AD" w:rsidRDefault="00BE34AD">
      <w:pPr>
        <w:pStyle w:val="FootnoteText"/>
      </w:pPr>
      <w:r>
        <w:rPr>
          <w:rStyle w:val="FootnoteReference"/>
        </w:rPr>
        <w:footnoteRef/>
      </w:r>
      <w:r>
        <w:t xml:space="preserve"> </w:t>
      </w:r>
      <w:r>
        <w:rPr>
          <w:rFonts w:ascii="Arial" w:hAnsi="Arial" w:cs="Arial"/>
          <w:color w:val="222222"/>
          <w:shd w:val="clear" w:color="auto" w:fill="FFFFFF"/>
        </w:rPr>
        <w:t>Taniguchi, Hiromi, and Gayle Kaufman. "Degree completion among nontraditional college students." </w:t>
      </w:r>
      <w:r>
        <w:rPr>
          <w:rFonts w:ascii="Arial" w:hAnsi="Arial" w:cs="Arial"/>
          <w:i/>
          <w:iCs/>
          <w:color w:val="222222"/>
          <w:shd w:val="clear" w:color="auto" w:fill="FFFFFF"/>
        </w:rPr>
        <w:t>Social Science Quarterly</w:t>
      </w:r>
      <w:r>
        <w:rPr>
          <w:rFonts w:ascii="Arial" w:hAnsi="Arial" w:cs="Arial"/>
          <w:color w:val="222222"/>
          <w:shd w:val="clear" w:color="auto" w:fill="FFFFFF"/>
        </w:rPr>
        <w:t> 86.4 (2005): 912-927.</w:t>
      </w:r>
    </w:p>
  </w:footnote>
  <w:footnote w:id="35">
    <w:p w14:paraId="4DF358AE" w14:textId="027EAE35" w:rsidR="00BE34AD" w:rsidRDefault="00BE34AD">
      <w:pPr>
        <w:pStyle w:val="FootnoteText"/>
      </w:pPr>
      <w:r>
        <w:rPr>
          <w:rStyle w:val="FootnoteReference"/>
        </w:rPr>
        <w:footnoteRef/>
      </w:r>
      <w:r>
        <w:t xml:space="preserve"> </w:t>
      </w:r>
      <w:proofErr w:type="spellStart"/>
      <w:r w:rsidRPr="00CA358C">
        <w:t>Harasim</w:t>
      </w:r>
      <w:proofErr w:type="spellEnd"/>
      <w:r w:rsidRPr="00CA358C">
        <w:t>, Linda. "Shift happens: Online education as a new paradigm in learning." The Internet and higher education 3.1-2 (2000): 41-61.</w:t>
      </w:r>
    </w:p>
  </w:footnote>
  <w:footnote w:id="36">
    <w:p w14:paraId="6AE29680" w14:textId="105FE2EA" w:rsidR="00BE34AD" w:rsidRDefault="00BE34AD">
      <w:pPr>
        <w:pStyle w:val="FootnoteText"/>
      </w:pPr>
      <w:r>
        <w:rPr>
          <w:rStyle w:val="FootnoteReference"/>
        </w:rPr>
        <w:footnoteRef/>
      </w:r>
      <w:r>
        <w:t xml:space="preserve"> </w:t>
      </w:r>
      <w:r w:rsidRPr="00BC5EC1">
        <w:t>Allen, I. Elaine, and Jeff Seaman. Changing course: Ten years of tracking online education in the United States. Sloan Consortium. PO Box 1238, Newburyport, MA 01950, 2013.</w:t>
      </w:r>
    </w:p>
  </w:footnote>
  <w:footnote w:id="37">
    <w:p w14:paraId="3BD98ABD" w14:textId="3F796F16" w:rsidR="00BE34AD" w:rsidRDefault="00BE34AD">
      <w:pPr>
        <w:pStyle w:val="FootnoteText"/>
      </w:pPr>
      <w:r>
        <w:rPr>
          <w:rStyle w:val="FootnoteReference"/>
        </w:rPr>
        <w:footnoteRef/>
      </w:r>
      <w:r>
        <w:t xml:space="preserve"> </w:t>
      </w:r>
      <w:proofErr w:type="spellStart"/>
      <w:r w:rsidRPr="00BE34AD">
        <w:t>Margaryan</w:t>
      </w:r>
      <w:proofErr w:type="spellEnd"/>
      <w:r w:rsidRPr="00BE34AD">
        <w:t xml:space="preserve">, </w:t>
      </w:r>
      <w:proofErr w:type="spellStart"/>
      <w:r w:rsidRPr="00BE34AD">
        <w:t>Anoush</w:t>
      </w:r>
      <w:proofErr w:type="spellEnd"/>
      <w:r w:rsidRPr="00BE34AD">
        <w:t>, Manuela Bianco, and Allison Littlejohn. "Instructional quality of massive open online courses (MOOCs)." Computers &amp; Education 80 (2015): 77-83.</w:t>
      </w:r>
    </w:p>
  </w:footnote>
  <w:footnote w:id="38">
    <w:p w14:paraId="0A76DA3E" w14:textId="77777777" w:rsidR="00D15352" w:rsidRDefault="00D15352" w:rsidP="00D15352">
      <w:pPr>
        <w:pStyle w:val="FootnoteText"/>
      </w:pPr>
      <w:r>
        <w:rPr>
          <w:rStyle w:val="FootnoteReference"/>
        </w:rPr>
        <w:footnoteRef/>
      </w:r>
      <w:r>
        <w:t xml:space="preserve"> </w:t>
      </w:r>
      <w:r w:rsidRPr="00036A21">
        <w:t>2008, Disrupting Class: How Disruptive Innovation Will Change the Way the World Learns, Clayton M. Christensen, Curtis W. Johnson, and Michael B. Horn</w:t>
      </w:r>
    </w:p>
  </w:footnote>
  <w:footnote w:id="39">
    <w:p w14:paraId="38CB841B" w14:textId="042FDF1B" w:rsidR="005A0A02" w:rsidRDefault="005A0A02">
      <w:pPr>
        <w:pStyle w:val="FootnoteText"/>
      </w:pPr>
      <w:r>
        <w:rPr>
          <w:rStyle w:val="FootnoteReference"/>
        </w:rPr>
        <w:footnoteRef/>
      </w:r>
      <w:r>
        <w:t xml:space="preserve"> </w:t>
      </w:r>
      <w:r w:rsidRPr="005A0A02">
        <w:t>April 2015, Creative Schools: The Grassroots Revolution That’s Transforming Education, Ken Robinson</w:t>
      </w:r>
    </w:p>
  </w:footnote>
  <w:footnote w:id="40">
    <w:p w14:paraId="6E6FBFCF" w14:textId="4E154656" w:rsidR="005A0A02" w:rsidRDefault="005A0A02">
      <w:pPr>
        <w:pStyle w:val="FootnoteText"/>
      </w:pPr>
      <w:r>
        <w:rPr>
          <w:rStyle w:val="FootnoteReference"/>
        </w:rPr>
        <w:footnoteRef/>
      </w:r>
      <w:r>
        <w:t xml:space="preserve"> </w:t>
      </w:r>
      <w:r w:rsidRPr="005A0A02">
        <w:t xml:space="preserve">2013, College (Un) Bound, Jeffrey </w:t>
      </w:r>
      <w:proofErr w:type="spellStart"/>
      <w:r w:rsidRPr="005A0A02">
        <w:t>Selingo</w:t>
      </w:r>
      <w:proofErr w:type="spellEnd"/>
    </w:p>
  </w:footnote>
  <w:footnote w:id="41">
    <w:p w14:paraId="23DFF46E" w14:textId="728D0019" w:rsidR="00165334" w:rsidRDefault="00165334">
      <w:pPr>
        <w:pStyle w:val="FootnoteText"/>
      </w:pPr>
      <w:r>
        <w:rPr>
          <w:rStyle w:val="FootnoteReference"/>
        </w:rPr>
        <w:footnoteRef/>
      </w:r>
      <w:r>
        <w:t xml:space="preserve"> </w:t>
      </w:r>
      <w:r w:rsidRPr="00165334">
        <w:t>Sept 2018, A New U: Faster + Cheaper Alternatives to College, Ryan Craig</w:t>
      </w:r>
    </w:p>
  </w:footnote>
  <w:footnote w:id="42">
    <w:p w14:paraId="4ABBDFF5" w14:textId="53413CC3" w:rsidR="001F2A24" w:rsidRDefault="001F2A24">
      <w:pPr>
        <w:pStyle w:val="FootnoteText"/>
      </w:pPr>
      <w:r>
        <w:rPr>
          <w:rStyle w:val="FootnoteReference"/>
        </w:rPr>
        <w:footnoteRef/>
      </w:r>
      <w:r>
        <w:t xml:space="preserve"> </w:t>
      </w:r>
      <w:r w:rsidRPr="001F2A24">
        <w:t>Bower, Joseph L., and Clayton M. Christensen. "Disruptive technologies: catching the wave." (1995): 43-53.</w:t>
      </w:r>
    </w:p>
  </w:footnote>
  <w:footnote w:id="43">
    <w:p w14:paraId="69F64D70" w14:textId="00C78B9F" w:rsidR="001F2A24" w:rsidRDefault="001F2A24">
      <w:pPr>
        <w:pStyle w:val="FootnoteText"/>
      </w:pPr>
      <w:r>
        <w:rPr>
          <w:rStyle w:val="FootnoteReference"/>
        </w:rPr>
        <w:footnoteRef/>
      </w:r>
      <w:r>
        <w:t xml:space="preserve"> </w:t>
      </w:r>
      <w:r w:rsidRPr="001F2A24">
        <w:t>2011, The Innovative University: Changing the DNA of Higher Education from the Inside Out, Clayton M. Christensen and Henry J. Eyring</w:t>
      </w:r>
    </w:p>
  </w:footnote>
  <w:footnote w:id="44">
    <w:p w14:paraId="74FCE35F" w14:textId="5FA98802" w:rsidR="00967346" w:rsidRDefault="00967346">
      <w:pPr>
        <w:pStyle w:val="FootnoteText"/>
      </w:pPr>
      <w:r>
        <w:rPr>
          <w:rStyle w:val="FootnoteReference"/>
        </w:rPr>
        <w:footnoteRef/>
      </w:r>
      <w:r>
        <w:t xml:space="preserve"> </w:t>
      </w:r>
      <w:r w:rsidRPr="00967346">
        <w:t>https://www.khanacademy.org/about/blog/post/163503591115/khan-academy-is-the-official-practice-partner-for</w:t>
      </w:r>
    </w:p>
  </w:footnote>
  <w:footnote w:id="45">
    <w:p w14:paraId="15A55BB1" w14:textId="07793B81" w:rsidR="00967346" w:rsidRDefault="00967346">
      <w:pPr>
        <w:pStyle w:val="FootnoteText"/>
      </w:pPr>
      <w:r>
        <w:rPr>
          <w:rStyle w:val="FootnoteReference"/>
        </w:rPr>
        <w:footnoteRef/>
      </w:r>
      <w:r>
        <w:t xml:space="preserve"> </w:t>
      </w:r>
      <w:r w:rsidRPr="00967346">
        <w:t>https://blog.udacity.com/2016/04/introducing-udacity-connect-turbocharged-learning.html</w:t>
      </w:r>
    </w:p>
  </w:footnote>
  <w:footnote w:id="46">
    <w:p w14:paraId="4803827F" w14:textId="62001FD8" w:rsidR="008F798B" w:rsidRDefault="008F798B">
      <w:pPr>
        <w:pStyle w:val="FootnoteText"/>
      </w:pPr>
      <w:r>
        <w:rPr>
          <w:rStyle w:val="FootnoteReference"/>
        </w:rPr>
        <w:footnoteRef/>
      </w:r>
      <w:r>
        <w:t xml:space="preserve"> </w:t>
      </w:r>
      <w:r w:rsidRPr="008F798B">
        <w:t>https://www.playworks.org/news/playworks-is-top-10-education-finalist-in-global-100change-competition/</w:t>
      </w:r>
    </w:p>
  </w:footnote>
  <w:footnote w:id="47">
    <w:p w14:paraId="1401EC7B" w14:textId="5A04E9D7" w:rsidR="008F798B" w:rsidRDefault="008F798B">
      <w:pPr>
        <w:pStyle w:val="FootnoteText"/>
      </w:pPr>
      <w:r>
        <w:rPr>
          <w:rStyle w:val="FootnoteReference"/>
        </w:rPr>
        <w:footnoteRef/>
      </w:r>
      <w:r>
        <w:t xml:space="preserve"> </w:t>
      </w:r>
      <w:r w:rsidRPr="008F798B">
        <w:t>http://100andchange.foundationcenter.org/dashboard/</w:t>
      </w:r>
    </w:p>
  </w:footnote>
  <w:footnote w:id="48">
    <w:p w14:paraId="05B29C20" w14:textId="792964DC" w:rsidR="008C2731" w:rsidRDefault="008C2731">
      <w:pPr>
        <w:pStyle w:val="FootnoteText"/>
      </w:pPr>
      <w:r>
        <w:rPr>
          <w:rStyle w:val="FootnoteReference"/>
        </w:rPr>
        <w:footnoteRef/>
      </w:r>
      <w:r>
        <w:t xml:space="preserve"> </w:t>
      </w:r>
      <w:r w:rsidRPr="008C2731">
        <w:t>https://www.macfound.org/programs/100change-2017-semifinalists/</w:t>
      </w:r>
    </w:p>
  </w:footnote>
  <w:footnote w:id="49">
    <w:p w14:paraId="07D6179E" w14:textId="012C401F" w:rsidR="008C2731" w:rsidRDefault="008C2731">
      <w:pPr>
        <w:pStyle w:val="FootnoteText"/>
      </w:pPr>
      <w:r>
        <w:rPr>
          <w:rStyle w:val="FootnoteReference"/>
        </w:rPr>
        <w:footnoteRef/>
      </w:r>
      <w:r>
        <w:t xml:space="preserve"> </w:t>
      </w:r>
      <w:r w:rsidRPr="008C2731">
        <w:t>https://www.khanacademy.org/about/blog/post/160451329150/studying-for-the-sat-for-20-hours-on-khan-academy</w:t>
      </w:r>
    </w:p>
  </w:footnote>
  <w:footnote w:id="50">
    <w:p w14:paraId="35083BD7" w14:textId="441764FA" w:rsidR="00751A9F" w:rsidRDefault="00751A9F">
      <w:pPr>
        <w:pStyle w:val="FootnoteText"/>
      </w:pPr>
      <w:r>
        <w:rPr>
          <w:rStyle w:val="FootnoteReference"/>
        </w:rPr>
        <w:footnoteRef/>
      </w:r>
      <w:r>
        <w:t xml:space="preserve"> </w:t>
      </w:r>
      <w:r w:rsidRPr="00751A9F">
        <w:t>https://en.wikipedia.org/w/index.php?title=Udacity&amp;oldid=853136895</w:t>
      </w:r>
    </w:p>
  </w:footnote>
  <w:footnote w:id="51">
    <w:p w14:paraId="1B25A658" w14:textId="70E7E81A" w:rsidR="00054D48" w:rsidRDefault="00054D48">
      <w:pPr>
        <w:pStyle w:val="FootnoteText"/>
      </w:pPr>
      <w:r>
        <w:rPr>
          <w:rStyle w:val="FootnoteReference"/>
        </w:rPr>
        <w:footnoteRef/>
      </w:r>
      <w:r>
        <w:t xml:space="preserve"> </w:t>
      </w:r>
      <w:r w:rsidRPr="00054D48">
        <w:t>https://www.jstor.org/stable/41947890</w:t>
      </w:r>
    </w:p>
  </w:footnote>
  <w:footnote w:id="52">
    <w:p w14:paraId="25DE76AD" w14:textId="0A476238" w:rsidR="00150B55" w:rsidRDefault="00150B55">
      <w:pPr>
        <w:pStyle w:val="FootnoteText"/>
      </w:pPr>
      <w:r>
        <w:rPr>
          <w:rStyle w:val="FootnoteReference"/>
        </w:rPr>
        <w:footnoteRef/>
      </w:r>
      <w:r>
        <w:t xml:space="preserve"> </w:t>
      </w:r>
      <w:r w:rsidRPr="00150B55">
        <w:t>https://www.huffingtonpost.com/entry/germany-apprenticeship-america-trump_us_594be9ebe4b0a3a837be16b5</w:t>
      </w:r>
    </w:p>
  </w:footnote>
  <w:footnote w:id="53">
    <w:p w14:paraId="3917E6F4" w14:textId="77C60068" w:rsidR="0039429A" w:rsidRDefault="0039429A">
      <w:pPr>
        <w:pStyle w:val="FootnoteText"/>
      </w:pPr>
      <w:r>
        <w:rPr>
          <w:rStyle w:val="FootnoteReference"/>
        </w:rPr>
        <w:footnoteRef/>
      </w:r>
      <w:r>
        <w:t xml:space="preserve"> </w:t>
      </w:r>
      <w:r w:rsidRPr="0039429A">
        <w:t>https://www.brookings.edu/blog/brown-center-chalkboard/2017/06/28/apprenticeship-programs-in-a-changing-economic-world/</w:t>
      </w:r>
    </w:p>
  </w:footnote>
  <w:footnote w:id="54">
    <w:p w14:paraId="7E68C3BE" w14:textId="1106F93F" w:rsidR="00F73D3D" w:rsidRDefault="00F73D3D">
      <w:pPr>
        <w:pStyle w:val="FootnoteText"/>
      </w:pPr>
      <w:r>
        <w:rPr>
          <w:rStyle w:val="FootnoteReference"/>
        </w:rPr>
        <w:footnoteRef/>
      </w:r>
      <w:r>
        <w:t xml:space="preserve"> </w:t>
      </w:r>
      <w:r w:rsidRPr="00F73D3D">
        <w:t>https://credentialengine.org/about/</w:t>
      </w:r>
    </w:p>
  </w:footnote>
  <w:footnote w:id="55">
    <w:p w14:paraId="08864A35" w14:textId="3A3322BD" w:rsidR="00C21106" w:rsidRDefault="00C21106">
      <w:pPr>
        <w:pStyle w:val="FootnoteText"/>
      </w:pPr>
      <w:r>
        <w:rPr>
          <w:rStyle w:val="FootnoteReference"/>
        </w:rPr>
        <w:footnoteRef/>
      </w:r>
      <w:r>
        <w:t xml:space="preserve"> </w:t>
      </w:r>
      <w:r w:rsidRPr="00C21106">
        <w:t>https://degreed.com/skill-certification</w:t>
      </w:r>
    </w:p>
  </w:footnote>
  <w:footnote w:id="56">
    <w:p w14:paraId="470E2AEF" w14:textId="379D1923" w:rsidR="004C12F1" w:rsidRDefault="004C12F1">
      <w:pPr>
        <w:pStyle w:val="FootnoteText"/>
      </w:pPr>
      <w:r>
        <w:rPr>
          <w:rStyle w:val="FootnoteReference"/>
        </w:rPr>
        <w:footnoteRef/>
      </w:r>
      <w:r>
        <w:t xml:space="preserve"> </w:t>
      </w:r>
      <w:r w:rsidRPr="004C12F1">
        <w:t>https://www.pluralsight.com/product/skill-iq</w:t>
      </w:r>
    </w:p>
  </w:footnote>
  <w:footnote w:id="57">
    <w:p w14:paraId="010BA7C2" w14:textId="6226E68B" w:rsidR="002A4FCD" w:rsidRDefault="002A4FCD">
      <w:pPr>
        <w:pStyle w:val="FootnoteText"/>
      </w:pPr>
      <w:r>
        <w:rPr>
          <w:rStyle w:val="FootnoteReference"/>
        </w:rPr>
        <w:footnoteRef/>
      </w:r>
      <w:r>
        <w:t xml:space="preserve"> </w:t>
      </w:r>
      <w:r w:rsidRPr="002A4FCD">
        <w:t>http://hanushek.stanford.edu/publications/saving-schools-why-more-money-not-answer</w:t>
      </w:r>
    </w:p>
  </w:footnote>
  <w:footnote w:id="58">
    <w:p w14:paraId="62D8463B" w14:textId="6C00EAE6" w:rsidR="00BE34AD" w:rsidRPr="00446D1E" w:rsidRDefault="00BE34AD">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59">
    <w:p w14:paraId="6BC219EC" w14:textId="313FD15F" w:rsidR="00BE34AD" w:rsidRDefault="00BE34AD">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60">
    <w:p w14:paraId="401113BE" w14:textId="62A61194" w:rsidR="00BE34AD" w:rsidRDefault="00BE34AD">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61">
    <w:p w14:paraId="58779EC6" w14:textId="6ED79913" w:rsidR="00BE34AD" w:rsidRDefault="00BE34AD">
      <w:pPr>
        <w:pStyle w:val="FootnoteText"/>
      </w:pPr>
      <w:r>
        <w:rPr>
          <w:rStyle w:val="FootnoteReference"/>
        </w:rPr>
        <w:footnoteRef/>
      </w:r>
      <w:r>
        <w:t xml:space="preserve"> </w:t>
      </w:r>
      <w:r w:rsidRPr="006F0B6B">
        <w:t>https://factfinder.census.gov/help/en/division.htm</w:t>
      </w:r>
    </w:p>
  </w:footnote>
  <w:footnote w:id="62">
    <w:p w14:paraId="7A891476" w14:textId="6398F997" w:rsidR="00BE34AD" w:rsidRDefault="00BE34AD">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63">
    <w:p w14:paraId="0743F693" w14:textId="78B24FE0" w:rsidR="00BE34AD" w:rsidRDefault="00BE34AD">
      <w:pPr>
        <w:pStyle w:val="FootnoteText"/>
      </w:pPr>
      <w:r>
        <w:rPr>
          <w:rStyle w:val="FootnoteReference"/>
        </w:rPr>
        <w:footnoteRef/>
      </w:r>
      <w:r>
        <w:t xml:space="preserve"> 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64">
    <w:p w14:paraId="37C1849A" w14:textId="6A91F0A7" w:rsidR="00BE34AD" w:rsidRDefault="00BE34AD">
      <w:pPr>
        <w:pStyle w:val="FootnoteText"/>
      </w:pPr>
      <w:r>
        <w:rPr>
          <w:rStyle w:val="FootnoteReference"/>
        </w:rPr>
        <w:footnoteRef/>
      </w:r>
      <w:r>
        <w:t xml:space="preserve"> Technically, this regression is executed in STATA with the syntax `</w:t>
      </w:r>
      <w:r w:rsidRPr="003E5B93">
        <w:t xml:space="preserve"> </w:t>
      </w:r>
      <w:proofErr w:type="spellStart"/>
      <w:r w:rsidRPr="003E5B93">
        <w:t>nl</w:t>
      </w:r>
      <w:proofErr w:type="spellEnd"/>
      <w:r w:rsidRPr="003E5B93">
        <w:t xml:space="preserve"> (</w:t>
      </w:r>
      <w:proofErr w:type="spellStart"/>
      <w:r w:rsidRPr="003E5B93">
        <w:t>voi</w:t>
      </w:r>
      <w:proofErr w:type="spellEnd"/>
      <w:r w:rsidRPr="003E5B93">
        <w:t xml:space="preserve"> = {b</w:t>
      </w:r>
      <w:proofErr w:type="gramStart"/>
      <w:r w:rsidRPr="003E5B93">
        <w:t>0}*</w:t>
      </w:r>
      <w:proofErr w:type="gramEnd"/>
      <w:r w:rsidRPr="003E5B93">
        <w:t>(exp({b1}*nvoifconventionalsoon1)))</w:t>
      </w:r>
      <w:r>
        <w:t>`.</w:t>
      </w:r>
    </w:p>
  </w:footnote>
  <w:footnote w:id="65">
    <w:p w14:paraId="0824AC56" w14:textId="3AA17BCD" w:rsidR="00BE34AD" w:rsidRDefault="00BE34AD">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66">
    <w:p w14:paraId="1E891D8D" w14:textId="3A297EA7" w:rsidR="00BE34AD" w:rsidRDefault="00BE34AD">
      <w:pPr>
        <w:pStyle w:val="FootnoteText"/>
      </w:pPr>
      <w:r>
        <w:rPr>
          <w:rStyle w:val="FootnoteReference"/>
        </w:rPr>
        <w:footnoteRef/>
      </w:r>
      <w:r>
        <w:t xml:space="preserve"> Technically, this regression is executed in STATA with the syntax `</w:t>
      </w:r>
      <w:proofErr w:type="spellStart"/>
      <w:r w:rsidRPr="00D426A7">
        <w:t>nl</w:t>
      </w:r>
      <w:proofErr w:type="spellEnd"/>
      <w:r w:rsidRPr="00D426A7">
        <w:t xml:space="preserve"> (</w:t>
      </w:r>
      <w:proofErr w:type="spellStart"/>
      <w:r w:rsidRPr="00D426A7">
        <w:t>voi</w:t>
      </w:r>
      <w:proofErr w:type="spellEnd"/>
      <w:r w:rsidRPr="00D426A7">
        <w:t xml:space="preserve"> = {b</w:t>
      </w:r>
      <w:proofErr w:type="gramStart"/>
      <w:r w:rsidRPr="00D426A7">
        <w:t>1}+</w:t>
      </w:r>
      <w:proofErr w:type="gramEnd"/>
      <w:r w:rsidRPr="00D426A7">
        <w:t>{b2=2}*(exp({b3=0.1}*nvoifconventionalsoon1)))</w:t>
      </w:r>
      <w:r>
        <w:t>`.</w:t>
      </w:r>
    </w:p>
  </w:footnote>
  <w:footnote w:id="67">
    <w:p w14:paraId="7B10BC84" w14:textId="77777777" w:rsidR="00BE34AD" w:rsidRDefault="00BE34AD"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68">
    <w:p w14:paraId="60870664" w14:textId="6FAFA444" w:rsidR="00BE34AD" w:rsidRDefault="00BE34A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69">
    <w:p w14:paraId="70B3A3E7" w14:textId="5E04B031" w:rsidR="00BE34AD" w:rsidRDefault="00BE34A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70">
    <w:p w14:paraId="0FCC2205" w14:textId="5AC36645" w:rsidR="00BE34AD" w:rsidRDefault="00BE34AD">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71">
    <w:p w14:paraId="7AF6A53C" w14:textId="1DF57D02" w:rsidR="00BE34AD" w:rsidRDefault="00BE34AD">
      <w:pPr>
        <w:pStyle w:val="FootnoteText"/>
      </w:pPr>
      <w:r>
        <w:rPr>
          <w:rStyle w:val="FootnoteReference"/>
        </w:rPr>
        <w:footnoteRef/>
      </w:r>
      <w:r>
        <w:t xml:space="preserve"> </w:t>
      </w:r>
      <w:hyperlink r:id="rId27" w:history="1">
        <w:r>
          <w:rPr>
            <w:rStyle w:val="Hyperlink"/>
          </w:rPr>
          <w:t>https://www.glassdoor.com/blog/no-degree-required/</w:t>
        </w:r>
      </w:hyperlink>
    </w:p>
  </w:footnote>
  <w:footnote w:id="72">
    <w:p w14:paraId="0AF8BEF4" w14:textId="1D122010" w:rsidR="00BE34AD" w:rsidRDefault="00BE34AD">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21048"/>
    <w:multiLevelType w:val="hybridMultilevel"/>
    <w:tmpl w:val="EA8A360E"/>
    <w:lvl w:ilvl="0" w:tplc="58E4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B1F4A"/>
    <w:multiLevelType w:val="hybridMultilevel"/>
    <w:tmpl w:val="FD425E6E"/>
    <w:lvl w:ilvl="0" w:tplc="0D749B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E619A"/>
    <w:multiLevelType w:val="hybridMultilevel"/>
    <w:tmpl w:val="52B67CD6"/>
    <w:lvl w:ilvl="0" w:tplc="864A6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4143D68"/>
    <w:multiLevelType w:val="hybridMultilevel"/>
    <w:tmpl w:val="231A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12"/>
  </w:num>
  <w:num w:numId="5">
    <w:abstractNumId w:val="16"/>
  </w:num>
  <w:num w:numId="6">
    <w:abstractNumId w:val="6"/>
  </w:num>
  <w:num w:numId="7">
    <w:abstractNumId w:val="11"/>
  </w:num>
  <w:num w:numId="8">
    <w:abstractNumId w:val="8"/>
  </w:num>
  <w:num w:numId="9">
    <w:abstractNumId w:val="3"/>
  </w:num>
  <w:num w:numId="10">
    <w:abstractNumId w:val="0"/>
  </w:num>
  <w:num w:numId="11">
    <w:abstractNumId w:val="10"/>
  </w:num>
  <w:num w:numId="12">
    <w:abstractNumId w:val="1"/>
  </w:num>
  <w:num w:numId="13">
    <w:abstractNumId w:val="4"/>
  </w:num>
  <w:num w:numId="14">
    <w:abstractNumId w:val="18"/>
  </w:num>
  <w:num w:numId="15">
    <w:abstractNumId w:val="2"/>
  </w:num>
  <w:num w:numId="16">
    <w:abstractNumId w:val="5"/>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16D24"/>
    <w:rsid w:val="0002141C"/>
    <w:rsid w:val="00025237"/>
    <w:rsid w:val="00026CC1"/>
    <w:rsid w:val="00027ACA"/>
    <w:rsid w:val="00030063"/>
    <w:rsid w:val="00031540"/>
    <w:rsid w:val="00036A21"/>
    <w:rsid w:val="0004056A"/>
    <w:rsid w:val="00045C2D"/>
    <w:rsid w:val="000513FB"/>
    <w:rsid w:val="00054D48"/>
    <w:rsid w:val="0005508F"/>
    <w:rsid w:val="00056CB3"/>
    <w:rsid w:val="00063334"/>
    <w:rsid w:val="00064A80"/>
    <w:rsid w:val="00070899"/>
    <w:rsid w:val="00073295"/>
    <w:rsid w:val="000802FD"/>
    <w:rsid w:val="0008515F"/>
    <w:rsid w:val="000A052A"/>
    <w:rsid w:val="000A37DE"/>
    <w:rsid w:val="000A6957"/>
    <w:rsid w:val="000A704E"/>
    <w:rsid w:val="000A74DC"/>
    <w:rsid w:val="000A7F62"/>
    <w:rsid w:val="000B0CDB"/>
    <w:rsid w:val="000B4103"/>
    <w:rsid w:val="000B4E3F"/>
    <w:rsid w:val="000C1B83"/>
    <w:rsid w:val="000C2799"/>
    <w:rsid w:val="000C6FA3"/>
    <w:rsid w:val="000D2886"/>
    <w:rsid w:val="000D5DAA"/>
    <w:rsid w:val="000D76B3"/>
    <w:rsid w:val="000D78A6"/>
    <w:rsid w:val="000E42E0"/>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0B55"/>
    <w:rsid w:val="00155404"/>
    <w:rsid w:val="00157364"/>
    <w:rsid w:val="00162BB2"/>
    <w:rsid w:val="00165334"/>
    <w:rsid w:val="0017168D"/>
    <w:rsid w:val="00177890"/>
    <w:rsid w:val="00177F56"/>
    <w:rsid w:val="00187B28"/>
    <w:rsid w:val="00193632"/>
    <w:rsid w:val="00195E4E"/>
    <w:rsid w:val="00197123"/>
    <w:rsid w:val="00197228"/>
    <w:rsid w:val="00197DDB"/>
    <w:rsid w:val="001C4321"/>
    <w:rsid w:val="001C72B5"/>
    <w:rsid w:val="001C7557"/>
    <w:rsid w:val="001D1829"/>
    <w:rsid w:val="001D1AF1"/>
    <w:rsid w:val="001D27AC"/>
    <w:rsid w:val="001E49E1"/>
    <w:rsid w:val="001E666F"/>
    <w:rsid w:val="001E754D"/>
    <w:rsid w:val="001F109D"/>
    <w:rsid w:val="001F2A24"/>
    <w:rsid w:val="002037BD"/>
    <w:rsid w:val="002063F1"/>
    <w:rsid w:val="00206D2C"/>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045F"/>
    <w:rsid w:val="002A4FCD"/>
    <w:rsid w:val="002A7921"/>
    <w:rsid w:val="002B0EA9"/>
    <w:rsid w:val="002C0A73"/>
    <w:rsid w:val="002C0AC6"/>
    <w:rsid w:val="002C1BD1"/>
    <w:rsid w:val="002C1FAC"/>
    <w:rsid w:val="002C20C7"/>
    <w:rsid w:val="002C3557"/>
    <w:rsid w:val="002C3BC9"/>
    <w:rsid w:val="002C418E"/>
    <w:rsid w:val="002C50B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52863"/>
    <w:rsid w:val="0035421A"/>
    <w:rsid w:val="00366483"/>
    <w:rsid w:val="00371A28"/>
    <w:rsid w:val="00373589"/>
    <w:rsid w:val="00380F7D"/>
    <w:rsid w:val="003847B1"/>
    <w:rsid w:val="003919BE"/>
    <w:rsid w:val="0039429A"/>
    <w:rsid w:val="003945BA"/>
    <w:rsid w:val="00394E5E"/>
    <w:rsid w:val="00396DE0"/>
    <w:rsid w:val="003A01D9"/>
    <w:rsid w:val="003A030A"/>
    <w:rsid w:val="003A2A09"/>
    <w:rsid w:val="003A65BE"/>
    <w:rsid w:val="003B0D58"/>
    <w:rsid w:val="003B18E2"/>
    <w:rsid w:val="003B43BE"/>
    <w:rsid w:val="003B6241"/>
    <w:rsid w:val="003C01CB"/>
    <w:rsid w:val="003C7E93"/>
    <w:rsid w:val="003D2371"/>
    <w:rsid w:val="003D4BB7"/>
    <w:rsid w:val="003E190D"/>
    <w:rsid w:val="003E5AFE"/>
    <w:rsid w:val="003E5B93"/>
    <w:rsid w:val="003F0E6B"/>
    <w:rsid w:val="003F737C"/>
    <w:rsid w:val="00401C6A"/>
    <w:rsid w:val="004071D4"/>
    <w:rsid w:val="0041092A"/>
    <w:rsid w:val="00420B1D"/>
    <w:rsid w:val="00421CE5"/>
    <w:rsid w:val="0042617D"/>
    <w:rsid w:val="00427E0C"/>
    <w:rsid w:val="00432011"/>
    <w:rsid w:val="0043244A"/>
    <w:rsid w:val="00442722"/>
    <w:rsid w:val="00446D1E"/>
    <w:rsid w:val="00447913"/>
    <w:rsid w:val="00452AB4"/>
    <w:rsid w:val="0045425F"/>
    <w:rsid w:val="00460633"/>
    <w:rsid w:val="0046092C"/>
    <w:rsid w:val="00463993"/>
    <w:rsid w:val="00477EDF"/>
    <w:rsid w:val="00480E06"/>
    <w:rsid w:val="00487375"/>
    <w:rsid w:val="00490E70"/>
    <w:rsid w:val="004A0EEF"/>
    <w:rsid w:val="004A141B"/>
    <w:rsid w:val="004A34A3"/>
    <w:rsid w:val="004A369B"/>
    <w:rsid w:val="004B100E"/>
    <w:rsid w:val="004C12F1"/>
    <w:rsid w:val="004C1B7C"/>
    <w:rsid w:val="004C1DA9"/>
    <w:rsid w:val="004C77F1"/>
    <w:rsid w:val="004D6365"/>
    <w:rsid w:val="004E473A"/>
    <w:rsid w:val="004F5A1F"/>
    <w:rsid w:val="004F7939"/>
    <w:rsid w:val="005031DD"/>
    <w:rsid w:val="005136D2"/>
    <w:rsid w:val="00516D3E"/>
    <w:rsid w:val="005316D4"/>
    <w:rsid w:val="00540261"/>
    <w:rsid w:val="00541039"/>
    <w:rsid w:val="005439B5"/>
    <w:rsid w:val="005502CB"/>
    <w:rsid w:val="005564F8"/>
    <w:rsid w:val="0055664F"/>
    <w:rsid w:val="00556F58"/>
    <w:rsid w:val="005578FB"/>
    <w:rsid w:val="00577462"/>
    <w:rsid w:val="00580018"/>
    <w:rsid w:val="00585D03"/>
    <w:rsid w:val="00590811"/>
    <w:rsid w:val="00594ABC"/>
    <w:rsid w:val="005A021B"/>
    <w:rsid w:val="005A0A02"/>
    <w:rsid w:val="005A0B8D"/>
    <w:rsid w:val="005A110D"/>
    <w:rsid w:val="005A28F4"/>
    <w:rsid w:val="005A2D6A"/>
    <w:rsid w:val="005A3DFF"/>
    <w:rsid w:val="005A7E8E"/>
    <w:rsid w:val="005B5F9D"/>
    <w:rsid w:val="005C690B"/>
    <w:rsid w:val="005C7483"/>
    <w:rsid w:val="005D02DC"/>
    <w:rsid w:val="005D7664"/>
    <w:rsid w:val="005E1794"/>
    <w:rsid w:val="005E5BF2"/>
    <w:rsid w:val="005E72A6"/>
    <w:rsid w:val="005E73E4"/>
    <w:rsid w:val="006157AA"/>
    <w:rsid w:val="00621244"/>
    <w:rsid w:val="006240F4"/>
    <w:rsid w:val="006254C1"/>
    <w:rsid w:val="0062742B"/>
    <w:rsid w:val="006278F4"/>
    <w:rsid w:val="00630664"/>
    <w:rsid w:val="00637194"/>
    <w:rsid w:val="006404F5"/>
    <w:rsid w:val="00654F9A"/>
    <w:rsid w:val="00656A49"/>
    <w:rsid w:val="00660771"/>
    <w:rsid w:val="00661C7B"/>
    <w:rsid w:val="00676C3B"/>
    <w:rsid w:val="006778B3"/>
    <w:rsid w:val="0068285B"/>
    <w:rsid w:val="00682A39"/>
    <w:rsid w:val="00684EFA"/>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04E"/>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05B"/>
    <w:rsid w:val="00734602"/>
    <w:rsid w:val="00751A9F"/>
    <w:rsid w:val="00756172"/>
    <w:rsid w:val="0075737A"/>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B25D6"/>
    <w:rsid w:val="007C589B"/>
    <w:rsid w:val="007D0409"/>
    <w:rsid w:val="007D7223"/>
    <w:rsid w:val="007E106A"/>
    <w:rsid w:val="00800DA4"/>
    <w:rsid w:val="00801667"/>
    <w:rsid w:val="00802CEB"/>
    <w:rsid w:val="008110A8"/>
    <w:rsid w:val="00812D6B"/>
    <w:rsid w:val="00814850"/>
    <w:rsid w:val="00821C46"/>
    <w:rsid w:val="008228EE"/>
    <w:rsid w:val="00822D76"/>
    <w:rsid w:val="008379FC"/>
    <w:rsid w:val="00840359"/>
    <w:rsid w:val="00843EA1"/>
    <w:rsid w:val="0084405C"/>
    <w:rsid w:val="00847C06"/>
    <w:rsid w:val="00850B94"/>
    <w:rsid w:val="00852E5B"/>
    <w:rsid w:val="008717FD"/>
    <w:rsid w:val="0087329C"/>
    <w:rsid w:val="00876DDB"/>
    <w:rsid w:val="00877DE2"/>
    <w:rsid w:val="00883961"/>
    <w:rsid w:val="00895BA8"/>
    <w:rsid w:val="0089765C"/>
    <w:rsid w:val="008A0804"/>
    <w:rsid w:val="008A317E"/>
    <w:rsid w:val="008A4E2D"/>
    <w:rsid w:val="008A6611"/>
    <w:rsid w:val="008B1E2B"/>
    <w:rsid w:val="008B66FC"/>
    <w:rsid w:val="008C2731"/>
    <w:rsid w:val="008C4D58"/>
    <w:rsid w:val="008C6195"/>
    <w:rsid w:val="008D151F"/>
    <w:rsid w:val="008D5DB5"/>
    <w:rsid w:val="008D6C66"/>
    <w:rsid w:val="008D7BD4"/>
    <w:rsid w:val="008F6AC8"/>
    <w:rsid w:val="008F798B"/>
    <w:rsid w:val="00906909"/>
    <w:rsid w:val="0091016C"/>
    <w:rsid w:val="00914CF4"/>
    <w:rsid w:val="00914E57"/>
    <w:rsid w:val="00926CE7"/>
    <w:rsid w:val="0092778F"/>
    <w:rsid w:val="009301EA"/>
    <w:rsid w:val="00930BA8"/>
    <w:rsid w:val="00932C07"/>
    <w:rsid w:val="009410EA"/>
    <w:rsid w:val="00941F0F"/>
    <w:rsid w:val="00960433"/>
    <w:rsid w:val="00960803"/>
    <w:rsid w:val="00963919"/>
    <w:rsid w:val="00965ECB"/>
    <w:rsid w:val="00967346"/>
    <w:rsid w:val="00967626"/>
    <w:rsid w:val="0097272D"/>
    <w:rsid w:val="00983A3A"/>
    <w:rsid w:val="00985244"/>
    <w:rsid w:val="00986663"/>
    <w:rsid w:val="009915E1"/>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4990"/>
    <w:rsid w:val="009D7959"/>
    <w:rsid w:val="009E124C"/>
    <w:rsid w:val="009F1A15"/>
    <w:rsid w:val="009F3A78"/>
    <w:rsid w:val="009F56C5"/>
    <w:rsid w:val="009F71B3"/>
    <w:rsid w:val="009F7F5A"/>
    <w:rsid w:val="00A00792"/>
    <w:rsid w:val="00A05612"/>
    <w:rsid w:val="00A05E6D"/>
    <w:rsid w:val="00A15940"/>
    <w:rsid w:val="00A16AD3"/>
    <w:rsid w:val="00A22ED6"/>
    <w:rsid w:val="00A24683"/>
    <w:rsid w:val="00A26C5C"/>
    <w:rsid w:val="00A42DBD"/>
    <w:rsid w:val="00A4398A"/>
    <w:rsid w:val="00A56187"/>
    <w:rsid w:val="00A5669F"/>
    <w:rsid w:val="00A56786"/>
    <w:rsid w:val="00A64633"/>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20CA5"/>
    <w:rsid w:val="00B21076"/>
    <w:rsid w:val="00B25E11"/>
    <w:rsid w:val="00B2741C"/>
    <w:rsid w:val="00B403A6"/>
    <w:rsid w:val="00B4170A"/>
    <w:rsid w:val="00B42493"/>
    <w:rsid w:val="00B433CC"/>
    <w:rsid w:val="00B504F3"/>
    <w:rsid w:val="00B52616"/>
    <w:rsid w:val="00B52B4E"/>
    <w:rsid w:val="00B70C03"/>
    <w:rsid w:val="00B71D94"/>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2D8F"/>
    <w:rsid w:val="00BC5612"/>
    <w:rsid w:val="00BC5EC1"/>
    <w:rsid w:val="00BC6AE5"/>
    <w:rsid w:val="00BD0EBC"/>
    <w:rsid w:val="00BE34AD"/>
    <w:rsid w:val="00BE538A"/>
    <w:rsid w:val="00BE7540"/>
    <w:rsid w:val="00BF34B5"/>
    <w:rsid w:val="00BF3624"/>
    <w:rsid w:val="00BF6EBA"/>
    <w:rsid w:val="00C052D0"/>
    <w:rsid w:val="00C0588F"/>
    <w:rsid w:val="00C07CBD"/>
    <w:rsid w:val="00C206F0"/>
    <w:rsid w:val="00C21106"/>
    <w:rsid w:val="00C2176A"/>
    <w:rsid w:val="00C23D29"/>
    <w:rsid w:val="00C24F83"/>
    <w:rsid w:val="00C25514"/>
    <w:rsid w:val="00C31AC9"/>
    <w:rsid w:val="00C31CBC"/>
    <w:rsid w:val="00C32109"/>
    <w:rsid w:val="00C32EBA"/>
    <w:rsid w:val="00C40044"/>
    <w:rsid w:val="00C41751"/>
    <w:rsid w:val="00C41FA0"/>
    <w:rsid w:val="00C5681C"/>
    <w:rsid w:val="00C57E63"/>
    <w:rsid w:val="00C60B5C"/>
    <w:rsid w:val="00C66EF8"/>
    <w:rsid w:val="00C72A1F"/>
    <w:rsid w:val="00C8272C"/>
    <w:rsid w:val="00C85628"/>
    <w:rsid w:val="00C902F9"/>
    <w:rsid w:val="00C96BDD"/>
    <w:rsid w:val="00CA1274"/>
    <w:rsid w:val="00CA358C"/>
    <w:rsid w:val="00CA4EFA"/>
    <w:rsid w:val="00CB26D5"/>
    <w:rsid w:val="00CB75C8"/>
    <w:rsid w:val="00CC6D85"/>
    <w:rsid w:val="00CC7000"/>
    <w:rsid w:val="00CD0494"/>
    <w:rsid w:val="00CD2F4F"/>
    <w:rsid w:val="00CD35C2"/>
    <w:rsid w:val="00CD3A97"/>
    <w:rsid w:val="00CD4008"/>
    <w:rsid w:val="00CD5F7C"/>
    <w:rsid w:val="00CD604D"/>
    <w:rsid w:val="00CE1958"/>
    <w:rsid w:val="00CE37A3"/>
    <w:rsid w:val="00CE4A76"/>
    <w:rsid w:val="00CE5362"/>
    <w:rsid w:val="00CF0B2E"/>
    <w:rsid w:val="00CF0BF5"/>
    <w:rsid w:val="00CF0F35"/>
    <w:rsid w:val="00CF1346"/>
    <w:rsid w:val="00CF3D1D"/>
    <w:rsid w:val="00CF661F"/>
    <w:rsid w:val="00D03480"/>
    <w:rsid w:val="00D12B04"/>
    <w:rsid w:val="00D15352"/>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4614"/>
    <w:rsid w:val="00D92D82"/>
    <w:rsid w:val="00D94F0E"/>
    <w:rsid w:val="00D95F09"/>
    <w:rsid w:val="00D9703E"/>
    <w:rsid w:val="00DB18CE"/>
    <w:rsid w:val="00DB2491"/>
    <w:rsid w:val="00DB26C3"/>
    <w:rsid w:val="00DC3918"/>
    <w:rsid w:val="00DC6568"/>
    <w:rsid w:val="00DC7144"/>
    <w:rsid w:val="00DC748F"/>
    <w:rsid w:val="00DD03F5"/>
    <w:rsid w:val="00DD1871"/>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2970"/>
    <w:rsid w:val="00E337AF"/>
    <w:rsid w:val="00E40ADF"/>
    <w:rsid w:val="00E42E89"/>
    <w:rsid w:val="00E45A31"/>
    <w:rsid w:val="00E5275F"/>
    <w:rsid w:val="00E53296"/>
    <w:rsid w:val="00E55210"/>
    <w:rsid w:val="00E8241E"/>
    <w:rsid w:val="00E90C4E"/>
    <w:rsid w:val="00EA39C2"/>
    <w:rsid w:val="00EB2C4B"/>
    <w:rsid w:val="00EB3C48"/>
    <w:rsid w:val="00EB52BF"/>
    <w:rsid w:val="00EB6995"/>
    <w:rsid w:val="00EC1E16"/>
    <w:rsid w:val="00EC3861"/>
    <w:rsid w:val="00ED2D8F"/>
    <w:rsid w:val="00ED7898"/>
    <w:rsid w:val="00EE23BE"/>
    <w:rsid w:val="00EE78BA"/>
    <w:rsid w:val="00EF4CF5"/>
    <w:rsid w:val="00EF58F8"/>
    <w:rsid w:val="00F05530"/>
    <w:rsid w:val="00F1049D"/>
    <w:rsid w:val="00F10E8B"/>
    <w:rsid w:val="00F117D9"/>
    <w:rsid w:val="00F23632"/>
    <w:rsid w:val="00F23C2F"/>
    <w:rsid w:val="00F308AB"/>
    <w:rsid w:val="00F31D0C"/>
    <w:rsid w:val="00F35DF8"/>
    <w:rsid w:val="00F67266"/>
    <w:rsid w:val="00F73D3D"/>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60">
      <w:bodyDiv w:val="1"/>
      <w:marLeft w:val="0"/>
      <w:marRight w:val="0"/>
      <w:marTop w:val="0"/>
      <w:marBottom w:val="0"/>
      <w:divBdr>
        <w:top w:val="none" w:sz="0" w:space="0" w:color="auto"/>
        <w:left w:val="none" w:sz="0" w:space="0" w:color="auto"/>
        <w:bottom w:val="none" w:sz="0" w:space="0" w:color="auto"/>
        <w:right w:val="none" w:sz="0" w:space="0" w:color="auto"/>
      </w:divBdr>
      <w:divsChild>
        <w:div w:id="590045436">
          <w:marLeft w:val="0"/>
          <w:marRight w:val="0"/>
          <w:marTop w:val="0"/>
          <w:marBottom w:val="0"/>
          <w:divBdr>
            <w:top w:val="none" w:sz="0" w:space="0" w:color="auto"/>
            <w:left w:val="none" w:sz="0" w:space="0" w:color="auto"/>
            <w:bottom w:val="none" w:sz="0" w:space="0" w:color="auto"/>
            <w:right w:val="none" w:sz="0" w:space="0" w:color="auto"/>
          </w:divBdr>
          <w:divsChild>
            <w:div w:id="776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62E5-AF1B-4EE9-9475-069CF99F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16216</TotalTime>
  <Pages>33</Pages>
  <Words>12301</Words>
  <Characters>70118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437</cp:revision>
  <dcterms:created xsi:type="dcterms:W3CDTF">2019-04-24T02:31:00Z</dcterms:created>
  <dcterms:modified xsi:type="dcterms:W3CDTF">2019-05-11T19:05:00Z</dcterms:modified>
</cp:coreProperties>
</file>