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45C42A6D" w:rsidR="00DF73A2" w:rsidRDefault="003B0D58" w:rsidP="001E666F">
      <w:r>
        <w:t>This paper tests the hypothesis that employers are willing to give on conformity by analyzing attitudinal trends over time. While the managerial attitude is of key interest, the structure of the survey allows for the investigation of many interesting secondary relations.</w:t>
      </w:r>
      <w:r w:rsidR="00E17E53">
        <w:t xml:space="preserve"> </w:t>
      </w:r>
    </w:p>
    <w:p w14:paraId="03654AA6" w14:textId="283C1CDF" w:rsidR="00122F3B" w:rsidRDefault="00122F3B" w:rsidP="00122F3B">
      <w:r>
        <w:t>This paper presents findings in a novel data set on attitudes related to the use of alternative credentials. The first section gives the organization of the paper, the motivation, and the main and secondary hypotheses. The second section adds contextual information to the hypotheses in the form of basic prospective theory. The third section presents findings.</w:t>
      </w:r>
    </w:p>
    <w:p w14:paraId="2BE0293C" w14:textId="63131EA9" w:rsidR="00122F3B" w:rsidRDefault="00122F3B" w:rsidP="00122F3B"/>
    <w:p w14:paraId="0D9A149D" w14:textId="62C9CB4A" w:rsidR="00122F3B" w:rsidRDefault="002E6557" w:rsidP="002E6557">
      <w:pPr>
        <w:pStyle w:val="ListParagraph"/>
        <w:numPr>
          <w:ilvl w:val="0"/>
          <w:numId w:val="1"/>
        </w:numPr>
        <w:rPr>
          <w:b/>
        </w:rPr>
      </w:pPr>
      <w:r>
        <w:rPr>
          <w:b/>
        </w:rPr>
        <w:t>Theory</w:t>
      </w:r>
    </w:p>
    <w:p w14:paraId="6B1EA6AC" w14:textId="5AF9CDF5" w:rsidR="00BC1E3C" w:rsidRPr="00BC1E3C" w:rsidRDefault="00BC1E3C" w:rsidP="002E6557">
      <w:pPr>
        <w:rPr>
          <w:b/>
        </w:rPr>
      </w:pPr>
      <w:r>
        <w:rPr>
          <w:b/>
        </w:rPr>
        <w:t>2.1</w:t>
      </w:r>
      <w:r w:rsidR="00DF00E9">
        <w:rPr>
          <w:b/>
        </w:rPr>
        <w:t xml:space="preserve"> Traditions Conceptualized</w:t>
      </w:r>
    </w:p>
    <w:p w14:paraId="2FF02734" w14:textId="4E11072A" w:rsidR="00801667" w:rsidRDefault="00DF00E9" w:rsidP="00DF00E9">
      <w:r>
        <w:t xml:space="preserve">The primary variable of interest for the present research is a favorability question on alternative credentials. Alternative credentials fit into a broader research area alternative education. Alternative education is defined simply as all education other than traditional education. </w:t>
      </w:r>
      <w:r w:rsidR="00EB6995">
        <w:t>Alternative education</w:t>
      </w:r>
      <w:r>
        <w:t xml:space="preserve"> decomposes into three subtopics including alternative </w:t>
      </w:r>
      <w:r w:rsidR="00EB6995">
        <w:t>credentials, alternative pedagogy, and alternative pathways.</w:t>
      </w:r>
      <w:r w:rsidR="0084405C">
        <w:t xml:space="preserve"> Each of these alternative entities is defined by the negation of their traditional counterpart.</w:t>
      </w:r>
    </w:p>
    <w:p w14:paraId="7E4CBFC1" w14:textId="1C0BD50E"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 xml:space="preserve">a tradition could occupy would </w:t>
      </w:r>
      <w:r w:rsidR="00F117D9">
        <w:lastRenderedPageBreak/>
        <w:t>be from the dawn of humankind until today</w:t>
      </w:r>
      <w:r w:rsidR="00EB52BF">
        <w:t>, and among all humans.</w:t>
      </w:r>
      <w:r w:rsidR="00F117D9">
        <w:t xml:space="preserve"> </w:t>
      </w:r>
      <w:r>
        <w:t xml:space="preserve">Tradition can be viewed on a spectrum, where some processes </w:t>
      </w:r>
      <w:proofErr w:type="gramStart"/>
      <w:r>
        <w:t>are more or less</w:t>
      </w:r>
      <w:proofErr w:type="gramEnd"/>
      <w:r>
        <w:t xml:space="preserve"> traditional, and the modal process among a group of comparable processes is the narrowly defined traditional process.</w:t>
      </w:r>
    </w:p>
    <w:p w14:paraId="0F6CE1CE" w14:textId="77777777" w:rsidR="00DF00E9" w:rsidRDefault="00DF00E9" w:rsidP="00DF00E9"/>
    <w:p w14:paraId="56FEC101" w14:textId="0408DEE6" w:rsidR="00DF00E9" w:rsidRDefault="00DF00E9" w:rsidP="00DF00E9">
      <w:pPr>
        <w:pStyle w:val="ListParagraph"/>
        <w:numPr>
          <w:ilvl w:val="1"/>
          <w:numId w:val="1"/>
        </w:numPr>
        <w:rPr>
          <w:b/>
        </w:rPr>
      </w:pPr>
      <w:r w:rsidRPr="00DF00E9">
        <w:rPr>
          <w:b/>
        </w:rPr>
        <w:t>Actual Traditions</w:t>
      </w:r>
      <w:r w:rsidR="00CE1958">
        <w:rPr>
          <w:b/>
        </w:rPr>
        <w:t>: A History of Accreditation in the United States</w:t>
      </w:r>
    </w:p>
    <w:p w14:paraId="499A73C1" w14:textId="5F1F4E90" w:rsidR="00DF00E9" w:rsidRDefault="00DF00E9" w:rsidP="00DF00E9">
      <w:pPr>
        <w:rPr>
          <w:b/>
        </w:rPr>
      </w:pPr>
    </w:p>
    <w:p w14:paraId="4F15C307" w14:textId="77777777" w:rsidR="00DF00E9" w:rsidRPr="00DF00E9" w:rsidRDefault="00DF00E9" w:rsidP="00DF00E9">
      <w:pPr>
        <w:rPr>
          <w:b/>
        </w:rPr>
      </w:pPr>
    </w:p>
    <w:p w14:paraId="27411E3C" w14:textId="58257A91" w:rsidR="00DF00E9" w:rsidRDefault="00DF00E9" w:rsidP="00DF00E9">
      <w:pPr>
        <w:pStyle w:val="ListParagraph"/>
        <w:numPr>
          <w:ilvl w:val="1"/>
          <w:numId w:val="1"/>
        </w:numPr>
        <w:rPr>
          <w:b/>
        </w:rPr>
      </w:pPr>
      <w:r>
        <w:rPr>
          <w:b/>
        </w:rPr>
        <w:t>Alternative</w:t>
      </w:r>
      <w:r w:rsidR="00000DC3">
        <w:rPr>
          <w:b/>
        </w:rPr>
        <w:t xml:space="preserve"> Education</w:t>
      </w:r>
      <w:r>
        <w:rPr>
          <w:b/>
        </w:rPr>
        <w:t xml:space="preserve"> Conceptualized</w:t>
      </w:r>
    </w:p>
    <w:p w14:paraId="7B8AFEFE" w14:textId="77777777"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all papers across several fields of research. Instead of studying alternative education holistically, researchers are in the practice of identifying and studying </w:t>
      </w:r>
      <w:proofErr w:type="gramStart"/>
      <w:r w:rsidR="006F4360">
        <w:t>particular implementations</w:t>
      </w:r>
      <w:proofErr w:type="gramEnd"/>
      <w:r w:rsidR="006F4360">
        <w:t xml:space="preserve"> of alternative education.</w:t>
      </w:r>
    </w:p>
    <w:p w14:paraId="43C38792" w14:textId="77777777" w:rsidR="001E754D" w:rsidRDefault="006F4360" w:rsidP="0055664F">
      <w:r>
        <w:t xml:space="preserve">One benefit of this approach is that </w:t>
      </w:r>
      <w:r w:rsidR="0055664F">
        <w:t xml:space="preserve">a researcher may identify </w:t>
      </w:r>
      <w:proofErr w:type="gramStart"/>
      <w:r w:rsidR="0055664F">
        <w:t xml:space="preserve">particular </w:t>
      </w:r>
      <w:r>
        <w:t>alternatives</w:t>
      </w:r>
      <w:proofErr w:type="gramEnd"/>
      <w:r>
        <w:t xml:space="preserve"> to college </w:t>
      </w:r>
      <w:r w:rsidR="0055664F">
        <w:t>as</w:t>
      </w:r>
      <w:r>
        <w:t xml:space="preserve"> faster and cheaper than traditional education, but a weakness of this approach is that</w:t>
      </w:r>
      <w:r w:rsidR="0055664F">
        <w:t xml:space="preserve"> such findings appear small, rare, disbursed, and ad hoc. To collect such effects into a strong case against the existing norm, a systematic approach involves establishing alternativeness as a factor which can be tested for some effect.</w:t>
      </w:r>
    </w:p>
    <w:p w14:paraId="2973D59D" w14:textId="182A03FA"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both decreasing </w:t>
      </w:r>
      <w:proofErr w:type="spellStart"/>
      <w:r w:rsidR="0043244A">
        <w:t>traditionalness</w:t>
      </w:r>
      <w:proofErr w:type="spellEnd"/>
      <w:r w:rsidR="0043244A">
        <w:t xml:space="preserve"> and increasing alternativeness.</w:t>
      </w:r>
    </w:p>
    <w:p w14:paraId="2BEB9677" w14:textId="162E7773" w:rsidR="008228EE" w:rsidRDefault="00EC1E16" w:rsidP="00000DC3">
      <w:r>
        <w:t>By directly utilizing the underlying measure of popularity, a cardinal operationalization is achieved. Examples of popularity measures include familiarity with a program, number of applications, number of enrollments, or total expenditure toward a program, or simple survey-based measures of familiarity or favorability with respect to a specific program.</w:t>
      </w:r>
    </w:p>
    <w:p w14:paraId="7CC85ECF" w14:textId="77777777" w:rsidR="00396DE0" w:rsidRDefault="00330D33" w:rsidP="00000DC3">
      <w:r>
        <w:t xml:space="preserve">As a brief example, The College Board, which administrates the SAT, </w:t>
      </w:r>
      <w:r w:rsidR="00C60B5C">
        <w:t xml:space="preserve">recognizes four types of high school in 2014 and other years. These types include public, religiously affiliated, independent, and a group combining other and unknown types of schools. </w:t>
      </w:r>
      <w:r>
        <w:t>Figure 1 shows reported measures of performance by type of high school</w:t>
      </w:r>
      <w:r w:rsidR="002D3181">
        <w:t xml:space="preserve">, augmented with </w:t>
      </w:r>
      <w:r w:rsidR="00C60B5C">
        <w:t>third party data for homeschoolers</w:t>
      </w:r>
      <w:r w:rsidR="00A15940">
        <w:rPr>
          <w:rStyle w:val="FootnoteReference"/>
        </w:rPr>
        <w:footnoteReference w:id="12"/>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lastRenderedPageBreak/>
        <w:t>Other research indicates that charter schools</w:t>
      </w:r>
      <w:r w:rsidR="00FF7634">
        <w:rPr>
          <w:rStyle w:val="FootnoteReference"/>
        </w:rPr>
        <w:footnoteReference w:id="13"/>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4B035C2F" w:rsidR="00396DE0" w:rsidRPr="00396DE0" w:rsidRDefault="00396DE0" w:rsidP="00000DC3">
      <w:pPr>
        <w:rPr>
          <w:b/>
        </w:rPr>
      </w:pPr>
      <w:r>
        <w:rPr>
          <w:b/>
        </w:rPr>
        <w:t>2.4 A Dynamic Model of Norms</w:t>
      </w:r>
    </w:p>
    <w:p w14:paraId="5AF44526" w14:textId="0572FB57"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14"/>
      </w:r>
      <w:r>
        <w:t xml:space="preserve">. If alternativeness continued to move in a positive direction ad infinitum, this would seem to indicate that traditions are perfectly opposed to maximal social value. This would be a jarring result which would fly in the face of much of mainline economics. Instead, the positive linear and negative </w:t>
      </w:r>
      <w:r>
        <w:lastRenderedPageBreak/>
        <w:t xml:space="preserve">marginal effects collectively indicate something much more compatible with orthodox economics. The indication is that some of tradition’s near neighbors represent an </w:t>
      </w:r>
      <w:proofErr w:type="gramStart"/>
      <w:r>
        <w:t>improvement, but</w:t>
      </w:r>
      <w:proofErr w:type="gramEnd"/>
      <w:r>
        <w:t xml:space="preserve"> continuing into the deeply alternative at some point detracts from value.</w:t>
      </w:r>
    </w:p>
    <w:p w14:paraId="3E4CB528" w14:textId="662F8E27" w:rsidR="00253FDD" w:rsidRPr="004C77F1" w:rsidRDefault="00396DE0" w:rsidP="00396DE0">
      <w:r>
        <w:t xml:space="preserve">Education fits in </w:t>
      </w:r>
      <w:r>
        <w:t>as a non-special case of norms</w:t>
      </w:r>
      <w:r>
        <w:t xml:space="preserve"> models</w:t>
      </w:r>
      <w:r>
        <w:t xml:space="preserve">.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15"/>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3ADEFCEA" w:rsidR="003945BA" w:rsidRPr="00A42DBD" w:rsidRDefault="003945BA" w:rsidP="00000DC3">
      <w:r>
        <w:t>In a third model of highest complexity, suppose that ten new cooperate choices are added each round instead of a single choice each round. The first new cooperate choice is revealed to both players with certainty, the next is revealed with a 90% chance, the third with an 80% chance, and so on. We can see that in most cases, assuming randomly distributed risk aversion between 0 and 1, players will not choose the riskiest new cooperate option. Given usual models of nonlinear risk aversion, players will tend to disproportionately choose the new cooperation choice which is revealed with certainty.</w:t>
      </w:r>
    </w:p>
    <w:p w14:paraId="33BE25E9" w14:textId="65A5E43E" w:rsidR="00A42DBD" w:rsidRDefault="00A42DBD" w:rsidP="00000DC3">
      <w:r>
        <w:t xml:space="preserve">This model perhaps clarifies why it is intuitive that a small alternativeness value would be beneficial relative </w:t>
      </w:r>
      <w:r w:rsidR="00CF0B2E">
        <w:t xml:space="preserve">to a huge alternativeness value. </w:t>
      </w:r>
      <w:r w:rsidR="00697E33">
        <w:t>Alternatives have some risk involved and people are risk averse, so it’s intuitive that society will take small steps over time toward adoption of alternatives. That effect compliments the fact that traditions are considered as efficient starting points.</w:t>
      </w:r>
      <w:bookmarkStart w:id="0" w:name="_GoBack"/>
      <w:bookmarkEnd w:id="0"/>
    </w:p>
    <w:p w14:paraId="399CBCFC" w14:textId="4D0AD90D" w:rsidR="00396DE0" w:rsidRDefault="00396DE0" w:rsidP="00000DC3"/>
    <w:p w14:paraId="3435A8D5" w14:textId="77777777" w:rsidR="00396DE0" w:rsidRDefault="00396DE0" w:rsidP="00000DC3"/>
    <w:p w14:paraId="69149437" w14:textId="6B66F56A" w:rsidR="0055664F" w:rsidRDefault="0055664F" w:rsidP="00000DC3">
      <w:r>
        <w:t>Alternativeness may simply be defined as the reverse of traditional, and we have already established that the strictly traditional process is also the modal process by frequency.</w:t>
      </w:r>
    </w:p>
    <w:p w14:paraId="5D5FA8CF" w14:textId="10B0C8D0" w:rsidR="0055664F" w:rsidRDefault="0055664F" w:rsidP="00000DC3">
      <w:r>
        <w:lastRenderedPageBreak/>
        <w:t xml:space="preserve">alternativeness finds a natural </w:t>
      </w:r>
      <w:proofErr w:type="gramStart"/>
      <w:r>
        <w:t>operationalization .</w:t>
      </w:r>
      <w:proofErr w:type="gramEnd"/>
      <w:r>
        <w:t xml:space="preserve"> That is, we can take various educational processes and order them by </w:t>
      </w:r>
    </w:p>
    <w:p w14:paraId="33D071A2" w14:textId="6459A018" w:rsidR="006F4360" w:rsidRDefault="0055664F" w:rsidP="00000DC3">
      <w:r>
        <w:t xml:space="preserve">While the present paper omits to test for this effect, an interesting study </w:t>
      </w:r>
    </w:p>
    <w:p w14:paraId="4EF6B7BE" w14:textId="656376C6" w:rsidR="00000DC3" w:rsidRPr="00000DC3" w:rsidRDefault="006F4360" w:rsidP="00000DC3">
      <w:r>
        <w:t xml:space="preserve">An important concept becomes the Least Alternative Alternatives (LAA). </w:t>
      </w:r>
    </w:p>
    <w:p w14:paraId="32361949" w14:textId="4FF88501" w:rsidR="00100062" w:rsidRDefault="00B92C6A" w:rsidP="002E6557">
      <w:r>
        <w:t>. From this vantage point, postsecondary accreditation is a peculiar and infant approach to learning and education.</w:t>
      </w:r>
      <w:r w:rsidR="00693F49">
        <w:t xml:space="preserve"> </w:t>
      </w:r>
      <w:r w:rsidR="008D7BD4">
        <w:t>Private accrediting agencies began forming in the 1880s, and private accreditation had become a well-established element of the higher education landscape by the 1930s</w:t>
      </w:r>
      <w:r w:rsidR="008D7BD4">
        <w:rPr>
          <w:rStyle w:val="FootnoteReference"/>
        </w:rPr>
        <w:footnoteReference w:id="16"/>
      </w:r>
      <w:r w:rsidR="008D7BD4">
        <w:t>. The G.I. Bill was signed into law in 1944</w:t>
      </w:r>
      <w:r w:rsidR="00A56786">
        <w:rPr>
          <w:rStyle w:val="FootnoteReference"/>
        </w:rPr>
        <w:footnoteReference w:id="17"/>
      </w:r>
      <w:r w:rsidR="008D7BD4">
        <w:t xml:space="preserve">, and </w:t>
      </w:r>
      <w:r w:rsidR="00A56786">
        <w:t>provisions of the bill boosted consumption of higher education. The number of degrees awarded by US colleges and universities more than doubled by 1940 and 1950.</w:t>
      </w:r>
      <w:r w:rsidR="00FB3F95">
        <w:t xml:space="preserve"> The increased consumption of education stimulated the formation of many new colleges, and some of these were “of dubious quality.</w:t>
      </w:r>
      <w:r w:rsidR="00FB3F95">
        <w:rPr>
          <w:rStyle w:val="FootnoteReference"/>
        </w:rPr>
        <w:footnoteReference w:id="18"/>
      </w:r>
      <w:r w:rsidR="00FB3F95">
        <w:t>” In 1952, the G.I. Bill was reauthorized, but this time G.I. Bill educational benefits would only be available for students enrolling at an accredited institution, and the U.S. Commissioner of Education was charged with publishing a list of federally recognized accredited institutions.</w:t>
      </w:r>
    </w:p>
    <w:p w14:paraId="46E42962" w14:textId="15503E1C" w:rsidR="00B92C6A" w:rsidRDefault="00FB3F95" w:rsidP="002E6557">
      <w:r>
        <w:t>Over time, federal recognition criteria became more elaborate. A notable related act would be the 1992 Amendments to the Higher Education Act.</w:t>
      </w:r>
      <w:r w:rsidR="00100062">
        <w:t xml:space="preserve"> Federal lending began in a military-oriented fashion with the </w:t>
      </w:r>
      <w:r w:rsidR="00100062" w:rsidRPr="00100062">
        <w:t>National Defense Education Act</w:t>
      </w:r>
      <w:r w:rsidR="00100062">
        <w:t xml:space="preserve"> of </w:t>
      </w:r>
      <w:r w:rsidR="00100062" w:rsidRPr="00100062">
        <w:t>1958</w:t>
      </w:r>
      <w:r w:rsidR="00100062">
        <w:t xml:space="preserve">, but lending was expanded to the general population with </w:t>
      </w:r>
      <w:r w:rsidR="00100062" w:rsidRPr="00100062">
        <w:t>1965 Higher Education Act</w:t>
      </w:r>
      <w:r w:rsidR="00100062">
        <w:t xml:space="preserve"> and subsequent legislation</w:t>
      </w:r>
      <w:r w:rsidR="008F6AC8">
        <w:rPr>
          <w:rStyle w:val="FootnoteReference"/>
        </w:rPr>
        <w:footnoteReference w:id="19"/>
      </w:r>
      <w:r w:rsidR="00D64322">
        <w:t>, and as earlier noted, Roots and many others identify this legislative trend as essentially causal to our present student debt crisis.</w:t>
      </w:r>
    </w:p>
    <w:p w14:paraId="08D600CB" w14:textId="77777777" w:rsidR="00B10255" w:rsidRDefault="00FB3F95" w:rsidP="002E6557">
      <w:r>
        <w:t xml:space="preserve">This brief history indicates that </w:t>
      </w:r>
      <w:r w:rsidR="00D64322">
        <w:t xml:space="preserve">federal </w:t>
      </w:r>
      <w:r>
        <w:t>postsecondary accreditation is not only a new</w:t>
      </w:r>
      <w:r w:rsidR="00D64322">
        <w:t xml:space="preserve"> human institution, but new in the specific context of the United States as well. It’s true that accreditation in some form has existed since the 1880s, and therefore accreditation can be considered a traditional process in United States education, but there is an important difference between federal and private accreditation. The former form is both causal in the student debt crisis and decidedly less traditional over the course of the totality of American history.</w:t>
      </w:r>
    </w:p>
    <w:p w14:paraId="56FF09D6" w14:textId="1712FFF0" w:rsidR="005C690B" w:rsidRDefault="00D64322" w:rsidP="005C690B">
      <w:r>
        <w:t xml:space="preserve">The point of this exercise is both to familiarize the reader with a bit of relevant history, </w:t>
      </w:r>
      <w:r w:rsidR="00B10255">
        <w:t>and to soften and normalize the vocabulary and topic of the present paper. 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w:t>
      </w:r>
      <w:r w:rsidR="004A34A3">
        <w:t>ituation.</w:t>
      </w:r>
      <w:r w:rsidR="005C690B">
        <w:t xml:space="preserve"> </w:t>
      </w:r>
      <w:r w:rsidR="00B10255">
        <w:t>Obtaining a federally accredited undergraduate degree is a rather new practice</w:t>
      </w:r>
      <w:r w:rsidR="005C690B">
        <w:t>, although we call it a tradition,</w:t>
      </w:r>
      <w:r w:rsidR="00B10255">
        <w:t xml:space="preserve"> </w:t>
      </w:r>
      <w:r w:rsidR="005C690B">
        <w:t>and it</w:t>
      </w:r>
      <w:r w:rsidR="00B10255">
        <w:t xml:space="preserve"> has always been dubiously socially beneficial.</w:t>
      </w:r>
    </w:p>
    <w:p w14:paraId="0B498533" w14:textId="3560117D" w:rsidR="002C0A73" w:rsidRDefault="006778B3" w:rsidP="005C690B">
      <w:r>
        <w:t xml:space="preserve">Traditional education is loosely synonymous with accredited education in the United States, but there are important technical differences. Accredited </w:t>
      </w:r>
      <w:r w:rsidR="0084405C">
        <w:t>credentials in the context of the US include the high school diploma, the accredited undergraduate degree, and an accredited graduate degree</w:t>
      </w:r>
      <w:r>
        <w:t>, but it is nontraditional to pursue education through the graduate level because most Americans don’t do this.</w:t>
      </w:r>
    </w:p>
    <w:p w14:paraId="3788A7B8" w14:textId="352325F8" w:rsidR="00AF7B34" w:rsidRDefault="006778B3" w:rsidP="00AF7B34">
      <w:r>
        <w:lastRenderedPageBreak/>
        <w:t xml:space="preserve">In fact, it’s not </w:t>
      </w:r>
      <w:r w:rsidR="00E337AF">
        <w:t>technically</w:t>
      </w:r>
      <w:r>
        <w:t xml:space="preserve"> traditional to get a college degree. Technically speaking, the American tradition is </w:t>
      </w:r>
      <w:r w:rsidR="00E337AF">
        <w:t xml:space="preserve">to </w:t>
      </w:r>
      <w:r>
        <w:t>enroll in a college degree and never complete the degree.</w:t>
      </w:r>
      <w:r w:rsidR="00656A49">
        <w:t xml:space="preserve">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sidR="00656A49">
        <w:rPr>
          <w:rStyle w:val="FootnoteReference"/>
        </w:rPr>
        <w:footnoteReference w:id="20"/>
      </w:r>
      <w:r w:rsidR="00656A49">
        <w:t>.</w:t>
      </w:r>
      <w:r w:rsidR="00AF7B34" w:rsidRPr="00AF7B34">
        <w:t xml:space="preserve"> </w:t>
      </w:r>
      <w:r w:rsidR="00AF7B34">
        <w:t xml:space="preserve">Between 1975 and 2011, the immediate college enrollment rate increased from 51 percent to 68 percent. Immediate transition to college has plateaued after the turn of the century. </w:t>
      </w:r>
      <w:r w:rsidR="00AF7B34" w:rsidRPr="00AF7B34">
        <w:t>The immediate college enrollment rates for 4-year and for 2-year colleges in 2016 were not measurably different from 2000</w:t>
      </w:r>
      <w:r w:rsidR="00AF7B34">
        <w:rPr>
          <w:rStyle w:val="FootnoteReference"/>
        </w:rPr>
        <w:footnoteReference w:id="21"/>
      </w:r>
      <w:r w:rsidR="00AF7B34" w:rsidRPr="00AF7B34">
        <w:t>.</w:t>
      </w:r>
    </w:p>
    <w:p w14:paraId="5CE85340" w14:textId="77777777" w:rsidR="005A3DFF" w:rsidRDefault="00656A49" w:rsidP="005A3DFF">
      <w:r>
        <w:t xml:space="preserve">Enrolling in college has technically been a tradition since </w:t>
      </w:r>
      <w:proofErr w:type="gramStart"/>
      <w:r w:rsidR="0033286E">
        <w:t>1975, but</w:t>
      </w:r>
      <w:proofErr w:type="gramEnd"/>
      <w:r>
        <w:t xml:space="preserve"> obtaining a degree never has been a tradition</w:t>
      </w:r>
      <w:r w:rsidR="0033286E">
        <w:t xml:space="preserve">. The fact that immediate enrolment has moved from a positive trend to a </w:t>
      </w:r>
      <w:proofErr w:type="gramStart"/>
      <w:r w:rsidR="0033286E">
        <w:t>plateau, and</w:t>
      </w:r>
      <w:proofErr w:type="gramEnd"/>
      <w:r w:rsidR="0033286E">
        <w:t xml:space="preserve"> has been stably flat for more than a decade, casts doubt on a renewal of a positive trend. For the foreseeable future, immediate enrolment will be flat</w:t>
      </w:r>
      <w:r w:rsidR="007E106A">
        <w:t>,</w:t>
      </w:r>
      <w:r w:rsidR="0033286E">
        <w:t xml:space="preserve"> or perhaps </w:t>
      </w:r>
      <w:r w:rsidR="007E106A">
        <w:t xml:space="preserve">see a small </w:t>
      </w:r>
      <w:r w:rsidR="0033286E">
        <w:t>decline.</w:t>
      </w:r>
    </w:p>
    <w:p w14:paraId="51F207E0" w14:textId="55654F0F" w:rsidR="0084405C" w:rsidRDefault="0084405C" w:rsidP="005A3DFF">
      <w:r>
        <w:t xml:space="preserve">In 2016, for example, the percentage of </w:t>
      </w:r>
      <w:r w:rsidRPr="0084405C">
        <w:t>students enrolling in college in the fall immediately following high school completion was 69.8</w:t>
      </w:r>
      <w:r>
        <w:t>%</w:t>
      </w:r>
      <w:r>
        <w:rPr>
          <w:rStyle w:val="FootnoteReference"/>
        </w:rPr>
        <w:footnoteReference w:id="22"/>
      </w:r>
      <w:r>
        <w:t>, but in 2016 the percentage of the adult population with a bachelor’s degree or higher was 33.4%</w:t>
      </w:r>
      <w:r>
        <w:rPr>
          <w:rStyle w:val="FootnoteReference"/>
        </w:rPr>
        <w:footnoteReference w:id="23"/>
      </w:r>
      <w:r>
        <w:t xml:space="preserve"> for “</w:t>
      </w:r>
      <w:r w:rsidRPr="0084405C">
        <w:t>the first time in decades of data</w:t>
      </w:r>
      <w:r>
        <w:t>.”</w:t>
      </w:r>
      <w:r w:rsidR="00371A28">
        <w:t xml:space="preserve"> To reiterate the point, the strictly modal pattern of educational attainment would be for an American student to obtain a diploma, enroll in an accredited bachelor’s degree program, and never complete that program.</w:t>
      </w:r>
    </w:p>
    <w:p w14:paraId="444D9D17" w14:textId="53185704" w:rsidR="00E45A31" w:rsidRDefault="00E45A31" w:rsidP="00371A28">
      <w:r>
        <w:t xml:space="preserve">While the above </w:t>
      </w:r>
      <w:r w:rsidR="00757F70">
        <w:t>describes</w:t>
      </w:r>
      <w:r>
        <w:t xml:space="preserve"> the strictly modal</w:t>
      </w:r>
      <w:r w:rsidR="00757F70">
        <w:t xml:space="preserve"> pattern, enrollment plus noncompletion does not describe the state of being desired by those who enroll. The </w:t>
      </w:r>
      <w:r w:rsidR="00371A28">
        <w:t>desired situation</w:t>
      </w:r>
      <w:r w:rsidR="00757F70">
        <w:t xml:space="preserve"> would be college graduation.</w:t>
      </w:r>
      <w:r w:rsidR="00371A28">
        <w:t xml:space="preserve"> As all ideas are antecedent to action, the desire to complete college is identified as more traditional than the actualization of college completion. This nuance is lost when speaking loosely, and as a result the four-year degree is loosely considered a traditional credential.</w:t>
      </w:r>
    </w:p>
    <w:p w14:paraId="67CF06DF" w14:textId="78C32561" w:rsidR="00D2093E" w:rsidRDefault="009F7F5A" w:rsidP="00371A28">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sidR="00BB5D56">
        <w:rPr>
          <w:rStyle w:val="FootnoteReference"/>
        </w:rPr>
        <w:footnoteReference w:id="24"/>
      </w:r>
      <w:r w:rsidRPr="009F7F5A">
        <w:t>.</w:t>
      </w:r>
    </w:p>
    <w:p w14:paraId="66F9FD21" w14:textId="77777777" w:rsidR="00FB3F95" w:rsidRDefault="00FB3F95" w:rsidP="0084405C"/>
    <w:p w14:paraId="7288CCB7" w14:textId="78174648" w:rsidR="002E6557" w:rsidRDefault="0072566D" w:rsidP="002E6557">
      <w:r>
        <w:t>*another motivation is pay equity and education access; minorities and non-traditional learners (</w:t>
      </w:r>
      <w:r w:rsidR="00064A80">
        <w:t>remember that</w:t>
      </w:r>
      <w:r>
        <w:t xml:space="preserve"> women aren’t a minority) are benefited thru this</w:t>
      </w:r>
    </w:p>
    <w:p w14:paraId="0F179A77" w14:textId="3E2496B1" w:rsidR="00541039" w:rsidRPr="00283992" w:rsidRDefault="00541039" w:rsidP="002E6557">
      <w:r>
        <w:t xml:space="preserve">*it’s worth thinking through other alternative education options: 1) outside of higher ed 2) hybrid higher ed solutions and alt path to traditional cred, </w:t>
      </w:r>
      <w:proofErr w:type="gramStart"/>
      <w:r>
        <w:t>3)considerations</w:t>
      </w:r>
      <w:proofErr w:type="gramEnd"/>
      <w:r>
        <w:t xml:space="preserve"> with online learning</w:t>
      </w:r>
      <w:r w:rsidR="00F05530">
        <w:t>, 4) what about just picking a cheap 4 year school?</w:t>
      </w:r>
      <w:r w:rsidR="00DE15C2">
        <w:t xml:space="preserve"> 5) vocational?</w:t>
      </w:r>
    </w:p>
    <w:p w14:paraId="28BBD86C" w14:textId="20B56557" w:rsidR="00283992" w:rsidRPr="00283992" w:rsidRDefault="00283992" w:rsidP="002E6557"/>
    <w:p w14:paraId="23C3A94A" w14:textId="380ED475" w:rsidR="002E6557" w:rsidRDefault="002E6557" w:rsidP="002E6557">
      <w:pPr>
        <w:pStyle w:val="ListParagraph"/>
        <w:numPr>
          <w:ilvl w:val="0"/>
          <w:numId w:val="1"/>
        </w:numPr>
        <w:rPr>
          <w:b/>
        </w:rPr>
      </w:pPr>
      <w:r>
        <w:rPr>
          <w:b/>
        </w:rPr>
        <w:lastRenderedPageBreak/>
        <w:t>Findings</w:t>
      </w:r>
    </w:p>
    <w:p w14:paraId="2BF95ABB" w14:textId="458C9BEB" w:rsidR="002E6557" w:rsidRDefault="002E6557" w:rsidP="002E6557">
      <w:r>
        <w:t>Previous research found student indifference toward debt</w:t>
      </w:r>
      <w:r w:rsidR="00CB75C8">
        <w:rPr>
          <w:rStyle w:val="FootnoteReference"/>
        </w:rPr>
        <w:footnoteReference w:id="25"/>
      </w:r>
      <w:r w:rsidR="006867A3">
        <w:t xml:space="preserve"> on the part of undergraduate students</w:t>
      </w:r>
      <w:r w:rsidR="00CB75C8">
        <w:t>. The present paper</w:t>
      </w:r>
      <w:r>
        <w:t xml:space="preserve"> replicates and 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w:t>
      </w:r>
      <w:r w:rsidR="00ED2D8F">
        <w:t>. G</w:t>
      </w:r>
      <w:r>
        <w:t xml:space="preserve">randparents and older generations may remember a time when such a credential wasn’t </w:t>
      </w:r>
      <w:r w:rsidR="00056CB3">
        <w:t>needed,</w:t>
      </w:r>
      <w:r>
        <w:t xml:space="preserve"> and society seemed to work quite well.</w:t>
      </w:r>
    </w:p>
    <w:p w14:paraId="0A5EA8BB" w14:textId="6C7BB4DB" w:rsidR="00A92670" w:rsidRDefault="00A92670" w:rsidP="002E6557"/>
    <w:p w14:paraId="60D6307A" w14:textId="2AA86478" w:rsidR="00A92670" w:rsidRDefault="00A92670" w:rsidP="00A92670">
      <w:pPr>
        <w:pStyle w:val="ListParagraph"/>
        <w:numPr>
          <w:ilvl w:val="0"/>
          <w:numId w:val="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 xml:space="preserve">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w:t>
      </w:r>
      <w:r>
        <w:lastRenderedPageBreak/>
        <w:t>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26"/>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27"/>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28"/>
      </w:r>
      <w:r w:rsidR="00C07CBD">
        <w:t>. Years later, in 2018, a well-known salary aggregator called Glassdoor reported on 15 major companies, including Google, which no longer required a degree</w:t>
      </w:r>
      <w:r w:rsidR="00C07CBD">
        <w:rPr>
          <w:rStyle w:val="FootnoteReference"/>
        </w:rPr>
        <w:footnoteReference w:id="29"/>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0"/>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967C786" w:rsidR="00DE1372" w:rsidRPr="00A92670" w:rsidRDefault="00801667" w:rsidP="00A92670">
      <w:r>
        <w:lastRenderedPageBreak/>
        <w:t>The important takeaway from the findings for individuals facing education consumption choices is that</w:t>
      </w:r>
      <w:r w:rsidR="00812D6B">
        <w:t xml:space="preserve"> most people are favorable to the idea that alternative credentials </w:t>
      </w:r>
    </w:p>
    <w:sectPr w:rsidR="00DE1372" w:rsidRPr="00A92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C7928" w14:textId="77777777" w:rsidR="003F61C9" w:rsidRDefault="003F61C9" w:rsidP="00BA4695">
      <w:pPr>
        <w:spacing w:after="0" w:line="240" w:lineRule="auto"/>
      </w:pPr>
      <w:r>
        <w:separator/>
      </w:r>
    </w:p>
  </w:endnote>
  <w:endnote w:type="continuationSeparator" w:id="0">
    <w:p w14:paraId="686A8626" w14:textId="77777777" w:rsidR="003F61C9" w:rsidRDefault="003F61C9"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EE22F" w14:textId="77777777" w:rsidR="003F61C9" w:rsidRDefault="003F61C9" w:rsidP="00BA4695">
      <w:pPr>
        <w:spacing w:after="0" w:line="240" w:lineRule="auto"/>
      </w:pPr>
      <w:r>
        <w:separator/>
      </w:r>
    </w:p>
  </w:footnote>
  <w:footnote w:type="continuationSeparator" w:id="0">
    <w:p w14:paraId="1E5D0564" w14:textId="77777777" w:rsidR="003F61C9" w:rsidRDefault="003F61C9" w:rsidP="00BA4695">
      <w:pPr>
        <w:spacing w:after="0" w:line="240" w:lineRule="auto"/>
      </w:pPr>
      <w:r>
        <w:continuationSeparator/>
      </w:r>
    </w:p>
  </w:footnote>
  <w:footnote w:id="1">
    <w:p w14:paraId="204795CE" w14:textId="313FF727" w:rsidR="00DF00E9" w:rsidRDefault="00DF00E9">
      <w:pPr>
        <w:pStyle w:val="FootnoteText"/>
      </w:pPr>
      <w:r>
        <w:rPr>
          <w:rStyle w:val="FootnoteReference"/>
        </w:rPr>
        <w:footnoteRef/>
      </w:r>
      <w:r>
        <w:t xml:space="preserve"> </w:t>
      </w:r>
      <w:hyperlink r:id="rId1" w:history="1">
        <w:r>
          <w:rPr>
            <w:rStyle w:val="Hyperlink"/>
          </w:rPr>
          <w:t>https://heinonline.org/HOL/LandingPage?handle=hein.journals/swulr29&amp;div=22&amp;id=&amp;pag</w:t>
        </w:r>
        <w:r>
          <w:rPr>
            <w:rStyle w:val="Hyperlink"/>
          </w:rPr>
          <w:t>e</w:t>
        </w:r>
        <w:r>
          <w:rPr>
            <w:rStyle w:val="Hyperlink"/>
          </w:rPr>
          <w:t>=&amp;t=1556581085</w:t>
        </w:r>
      </w:hyperlink>
    </w:p>
  </w:footnote>
  <w:footnote w:id="2">
    <w:p w14:paraId="1331EE9E" w14:textId="1376D65B" w:rsidR="00DF00E9" w:rsidRDefault="00DF00E9">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DF00E9" w:rsidRDefault="00DF00E9">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DF00E9" w:rsidRDefault="00DF00E9">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DF00E9" w:rsidRPr="0069539E" w:rsidRDefault="00DF00E9">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DF00E9" w:rsidRDefault="00DF00E9">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DF00E9" w:rsidRDefault="00DF00E9">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DF00E9" w:rsidRDefault="00DF00E9">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DF00E9" w:rsidRDefault="00DF00E9"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DF00E9" w:rsidRDefault="00DF00E9">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DF00E9" w:rsidRPr="002C3BC9" w:rsidRDefault="00DF00E9">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0D9D9290" w14:textId="7CCF7B82" w:rsidR="00A15940" w:rsidRDefault="00A15940">
      <w:pPr>
        <w:pStyle w:val="FootnoteText"/>
      </w:pPr>
      <w:r>
        <w:rPr>
          <w:rStyle w:val="FootnoteReference"/>
        </w:rPr>
        <w:footnoteRef/>
      </w:r>
      <w:r>
        <w:t xml:space="preserve"> </w:t>
      </w:r>
      <w:hyperlink r:id="rId10" w:history="1">
        <w:r>
          <w:rPr>
            <w:rStyle w:val="Hyperlink"/>
          </w:rPr>
          <w:t>https://hslda.org/content/docs/news/2016/201606240.asp</w:t>
        </w:r>
      </w:hyperlink>
    </w:p>
  </w:footnote>
  <w:footnote w:id="13">
    <w:p w14:paraId="43C82137" w14:textId="44A63749" w:rsidR="00FF7634" w:rsidRDefault="00FF7634">
      <w:pPr>
        <w:pStyle w:val="FootnoteText"/>
      </w:pPr>
      <w:r>
        <w:rPr>
          <w:rStyle w:val="FootnoteReference"/>
        </w:rPr>
        <w:footnoteRef/>
      </w:r>
      <w:r>
        <w:t xml:space="preserve"> </w:t>
      </w:r>
      <w:r w:rsidR="0068285B">
        <w:rPr>
          <w:rFonts w:ascii="Arial" w:hAnsi="Arial" w:cs="Arial"/>
          <w:color w:val="222222"/>
          <w:shd w:val="clear" w:color="auto" w:fill="FFFFFF"/>
        </w:rPr>
        <w:t>Di Carlo, Matthew. "The Evidence on Charter Schools and Test Scores. Policy Brief." </w:t>
      </w:r>
      <w:r w:rsidR="0068285B">
        <w:rPr>
          <w:rFonts w:ascii="Arial" w:hAnsi="Arial" w:cs="Arial"/>
          <w:i/>
          <w:iCs/>
          <w:color w:val="222222"/>
          <w:shd w:val="clear" w:color="auto" w:fill="FFFFFF"/>
        </w:rPr>
        <w:t xml:space="preserve">Albert </w:t>
      </w:r>
      <w:proofErr w:type="spellStart"/>
      <w:r w:rsidR="0068285B">
        <w:rPr>
          <w:rFonts w:ascii="Arial" w:hAnsi="Arial" w:cs="Arial"/>
          <w:i/>
          <w:iCs/>
          <w:color w:val="222222"/>
          <w:shd w:val="clear" w:color="auto" w:fill="FFFFFF"/>
        </w:rPr>
        <w:t>Shanker</w:t>
      </w:r>
      <w:proofErr w:type="spellEnd"/>
      <w:r w:rsidR="0068285B">
        <w:rPr>
          <w:rFonts w:ascii="Arial" w:hAnsi="Arial" w:cs="Arial"/>
          <w:i/>
          <w:iCs/>
          <w:color w:val="222222"/>
          <w:shd w:val="clear" w:color="auto" w:fill="FFFFFF"/>
        </w:rPr>
        <w:t xml:space="preserve"> Institute</w:t>
      </w:r>
      <w:r w:rsidR="0068285B">
        <w:rPr>
          <w:rFonts w:ascii="Arial" w:hAnsi="Arial" w:cs="Arial"/>
          <w:color w:val="222222"/>
          <w:shd w:val="clear" w:color="auto" w:fill="FFFFFF"/>
        </w:rPr>
        <w:t> (2011).</w:t>
      </w:r>
    </w:p>
  </w:footnote>
  <w:footnote w:id="14">
    <w:p w14:paraId="7F4E8D32" w14:textId="77777777" w:rsidR="00396DE0" w:rsidRDefault="00396DE0"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15">
    <w:p w14:paraId="400E3157" w14:textId="5A6B1DFD" w:rsidR="00D3034A" w:rsidRDefault="00D3034A">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16">
    <w:p w14:paraId="0AF05862" w14:textId="1F2888E5" w:rsidR="00DF00E9" w:rsidRDefault="00DF00E9">
      <w:pPr>
        <w:pStyle w:val="FootnoteText"/>
      </w:pPr>
      <w:r>
        <w:rPr>
          <w:rStyle w:val="FootnoteReference"/>
        </w:rPr>
        <w:footnoteRef/>
      </w:r>
      <w:r>
        <w:t xml:space="preserve"> </w:t>
      </w:r>
      <w:hyperlink r:id="rId11" w:history="1">
        <w:r>
          <w:rPr>
            <w:rStyle w:val="Hyperlink"/>
          </w:rPr>
          <w:t>http://www.acics.org/accreditation/content.aspx?id=2258</w:t>
        </w:r>
      </w:hyperlink>
    </w:p>
  </w:footnote>
  <w:footnote w:id="17">
    <w:p w14:paraId="7A644A7F" w14:textId="6BBD1543" w:rsidR="00DF00E9" w:rsidRDefault="00DF00E9">
      <w:pPr>
        <w:pStyle w:val="FootnoteText"/>
      </w:pPr>
      <w:r>
        <w:rPr>
          <w:rStyle w:val="FootnoteReference"/>
        </w:rPr>
        <w:footnoteRef/>
      </w:r>
      <w:r>
        <w:t xml:space="preserve"> </w:t>
      </w:r>
      <w:hyperlink r:id="rId12" w:history="1">
        <w:r>
          <w:rPr>
            <w:rStyle w:val="Hyperlink"/>
          </w:rPr>
          <w:t>https://www.ourdocuments.gov/doc.php?flash=false&amp;doc=76</w:t>
        </w:r>
      </w:hyperlink>
    </w:p>
  </w:footnote>
  <w:footnote w:id="18">
    <w:p w14:paraId="56A74DD8" w14:textId="0D7205B7" w:rsidR="00DF00E9" w:rsidRDefault="00DF00E9">
      <w:pPr>
        <w:pStyle w:val="FootnoteText"/>
      </w:pPr>
      <w:r>
        <w:rPr>
          <w:rStyle w:val="FootnoteReference"/>
        </w:rPr>
        <w:footnoteRef/>
      </w:r>
      <w:r>
        <w:t xml:space="preserve"> </w:t>
      </w:r>
      <w:hyperlink r:id="rId13" w:history="1">
        <w:r>
          <w:rPr>
            <w:rStyle w:val="Hyperlink"/>
          </w:rPr>
          <w:t>https://www.chea.org/recognition-accreditation-organizations</w:t>
        </w:r>
      </w:hyperlink>
    </w:p>
  </w:footnote>
  <w:footnote w:id="19">
    <w:p w14:paraId="054D1063" w14:textId="734CC334" w:rsidR="00DF00E9" w:rsidRDefault="00DF00E9">
      <w:pPr>
        <w:pStyle w:val="FootnoteText"/>
      </w:pPr>
      <w:r>
        <w:rPr>
          <w:rStyle w:val="FootnoteReference"/>
        </w:rPr>
        <w:footnoteRef/>
      </w:r>
      <w:r>
        <w:t xml:space="preserve"> </w:t>
      </w:r>
      <w:hyperlink r:id="rId14" w:history="1">
        <w:r>
          <w:rPr>
            <w:rStyle w:val="Hyperlink"/>
          </w:rPr>
          <w:t>https://www.luminafoundation.org/looking-back-to-move-forward-1</w:t>
        </w:r>
      </w:hyperlink>
    </w:p>
  </w:footnote>
  <w:footnote w:id="20">
    <w:p w14:paraId="6154D548" w14:textId="536B6C3C" w:rsidR="00DF00E9" w:rsidRDefault="00DF00E9">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21">
    <w:p w14:paraId="190AC3D3" w14:textId="20B16DE9" w:rsidR="00DF00E9" w:rsidRDefault="00DF00E9">
      <w:pPr>
        <w:pStyle w:val="FootnoteText"/>
      </w:pPr>
      <w:r>
        <w:rPr>
          <w:rStyle w:val="FootnoteReference"/>
        </w:rPr>
        <w:footnoteRef/>
      </w:r>
      <w:r>
        <w:t xml:space="preserve"> </w:t>
      </w:r>
      <w:hyperlink r:id="rId16" w:history="1">
        <w:r>
          <w:rPr>
            <w:rStyle w:val="Hyperlink"/>
          </w:rPr>
          <w:t>https://nces.ed.gov/fastfacts/display.asp?id=51</w:t>
        </w:r>
      </w:hyperlink>
    </w:p>
  </w:footnote>
  <w:footnote w:id="22">
    <w:p w14:paraId="51408B9D" w14:textId="1A778D40" w:rsidR="00DF00E9" w:rsidRDefault="00DF00E9">
      <w:pPr>
        <w:pStyle w:val="FootnoteText"/>
      </w:pPr>
      <w:r>
        <w:rPr>
          <w:rStyle w:val="FootnoteReference"/>
        </w:rPr>
        <w:footnoteRef/>
      </w:r>
      <w:r>
        <w:t xml:space="preserve"> </w:t>
      </w:r>
      <w:hyperlink r:id="rId17" w:history="1">
        <w:r>
          <w:rPr>
            <w:rStyle w:val="Hyperlink"/>
          </w:rPr>
          <w:t>https://nces.ed.gov/fastfacts/display.asp?id=372</w:t>
        </w:r>
      </w:hyperlink>
    </w:p>
  </w:footnote>
  <w:footnote w:id="23">
    <w:p w14:paraId="45C849BE" w14:textId="6946E007" w:rsidR="00DF00E9" w:rsidRDefault="00DF00E9">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4">
    <w:p w14:paraId="717DFB30" w14:textId="13A3048D" w:rsidR="00DF00E9" w:rsidRDefault="00DF00E9">
      <w:pPr>
        <w:pStyle w:val="FootnoteText"/>
      </w:pPr>
      <w:r>
        <w:rPr>
          <w:rStyle w:val="FootnoteReference"/>
        </w:rPr>
        <w:footnoteRef/>
      </w:r>
      <w:r>
        <w:t xml:space="preserve"> </w:t>
      </w:r>
      <w:hyperlink r:id="rId19" w:history="1">
        <w:r>
          <w:rPr>
            <w:rStyle w:val="Hyperlink"/>
          </w:rPr>
          <w:t>https://www.pnas.org/content/111/23/8410</w:t>
        </w:r>
      </w:hyperlink>
    </w:p>
  </w:footnote>
  <w:footnote w:id="25">
    <w:p w14:paraId="276BB381" w14:textId="27DF0785" w:rsidR="00DF00E9" w:rsidRDefault="00DF00E9">
      <w:pPr>
        <w:pStyle w:val="FootnoteText"/>
      </w:pPr>
      <w:r>
        <w:rPr>
          <w:rStyle w:val="FootnoteReference"/>
        </w:rPr>
        <w:footnoteRef/>
      </w:r>
      <w:r>
        <w:t xml:space="preserve"> </w:t>
      </w:r>
      <w:hyperlink r:id="rId20" w:history="1">
        <w:r>
          <w:rPr>
            <w:rStyle w:val="Hyperlink"/>
          </w:rPr>
          <w:t>https://www.sciencedirect.com/science/article/abs/pii/0167487096800146</w:t>
        </w:r>
      </w:hyperlink>
    </w:p>
  </w:footnote>
  <w:footnote w:id="26">
    <w:p w14:paraId="60870664" w14:textId="6FAFA444" w:rsidR="00DF00E9" w:rsidRDefault="00DF00E9">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27">
    <w:p w14:paraId="70B3A3E7" w14:textId="5E04B031" w:rsidR="00DF00E9" w:rsidRDefault="00DF00E9">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28">
    <w:p w14:paraId="0FCC2205" w14:textId="5AC36645" w:rsidR="00DF00E9" w:rsidRDefault="00DF00E9">
      <w:pPr>
        <w:pStyle w:val="FootnoteText"/>
      </w:pPr>
      <w:r>
        <w:rPr>
          <w:rStyle w:val="FootnoteReference"/>
        </w:rPr>
        <w:footnoteRef/>
      </w:r>
      <w:r>
        <w:t xml:space="preserve"> </w:t>
      </w:r>
      <w:hyperlink r:id="rId21" w:history="1">
        <w:r>
          <w:rPr>
            <w:rStyle w:val="Hyperlink"/>
          </w:rPr>
          <w:t>https://www.nytimes.com/2013/06/20/business/in-head-hunting-big-data-may-not-be-such-a-big-deal.html</w:t>
        </w:r>
      </w:hyperlink>
    </w:p>
  </w:footnote>
  <w:footnote w:id="29">
    <w:p w14:paraId="7AF6A53C" w14:textId="1DF57D02" w:rsidR="00DF00E9" w:rsidRDefault="00DF00E9">
      <w:pPr>
        <w:pStyle w:val="FootnoteText"/>
      </w:pPr>
      <w:r>
        <w:rPr>
          <w:rStyle w:val="FootnoteReference"/>
        </w:rPr>
        <w:footnoteRef/>
      </w:r>
      <w:r>
        <w:t xml:space="preserve"> </w:t>
      </w:r>
      <w:hyperlink r:id="rId22" w:history="1">
        <w:r>
          <w:rPr>
            <w:rStyle w:val="Hyperlink"/>
          </w:rPr>
          <w:t>https://www.glassdoor.com/blog/no-degree-required/</w:t>
        </w:r>
      </w:hyperlink>
    </w:p>
  </w:footnote>
  <w:footnote w:id="30">
    <w:p w14:paraId="0AF8BEF4" w14:textId="1D122010" w:rsidR="00DF00E9" w:rsidRDefault="00DF00E9">
      <w:pPr>
        <w:pStyle w:val="FootnoteText"/>
      </w:pPr>
      <w:r>
        <w:rPr>
          <w:rStyle w:val="FootnoteReference"/>
        </w:rPr>
        <w:footnoteRef/>
      </w:r>
      <w:r>
        <w:t xml:space="preserve"> </w:t>
      </w:r>
      <w:hyperlink r:id="rId23"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7ACA"/>
    <w:rsid w:val="00045C2D"/>
    <w:rsid w:val="000513FB"/>
    <w:rsid w:val="00056CB3"/>
    <w:rsid w:val="00064A80"/>
    <w:rsid w:val="000A37DE"/>
    <w:rsid w:val="000C1B83"/>
    <w:rsid w:val="000C6FA3"/>
    <w:rsid w:val="000D2886"/>
    <w:rsid w:val="000D5DAA"/>
    <w:rsid w:val="00100062"/>
    <w:rsid w:val="001068E9"/>
    <w:rsid w:val="00114C02"/>
    <w:rsid w:val="00120DBD"/>
    <w:rsid w:val="00122F3B"/>
    <w:rsid w:val="0013235E"/>
    <w:rsid w:val="00177890"/>
    <w:rsid w:val="00187B28"/>
    <w:rsid w:val="00193632"/>
    <w:rsid w:val="00197228"/>
    <w:rsid w:val="001E666F"/>
    <w:rsid w:val="001E754D"/>
    <w:rsid w:val="001F109D"/>
    <w:rsid w:val="002037BD"/>
    <w:rsid w:val="00217F4A"/>
    <w:rsid w:val="002528CA"/>
    <w:rsid w:val="00253FDD"/>
    <w:rsid w:val="00254B9F"/>
    <w:rsid w:val="00283992"/>
    <w:rsid w:val="002862C7"/>
    <w:rsid w:val="00291A62"/>
    <w:rsid w:val="0029382B"/>
    <w:rsid w:val="002A7921"/>
    <w:rsid w:val="002C0A73"/>
    <w:rsid w:val="002C1FAC"/>
    <w:rsid w:val="002C3557"/>
    <w:rsid w:val="002C3BC9"/>
    <w:rsid w:val="002C418E"/>
    <w:rsid w:val="002D3181"/>
    <w:rsid w:val="002D7E0B"/>
    <w:rsid w:val="002E6557"/>
    <w:rsid w:val="003052E7"/>
    <w:rsid w:val="00330D33"/>
    <w:rsid w:val="0033286E"/>
    <w:rsid w:val="00371A28"/>
    <w:rsid w:val="003847B1"/>
    <w:rsid w:val="003945BA"/>
    <w:rsid w:val="00396DE0"/>
    <w:rsid w:val="003B0D58"/>
    <w:rsid w:val="003C01CB"/>
    <w:rsid w:val="003C7E93"/>
    <w:rsid w:val="003F0E6B"/>
    <w:rsid w:val="003F61C9"/>
    <w:rsid w:val="004071D4"/>
    <w:rsid w:val="00420B1D"/>
    <w:rsid w:val="00421CE5"/>
    <w:rsid w:val="0042617D"/>
    <w:rsid w:val="0043244A"/>
    <w:rsid w:val="00442722"/>
    <w:rsid w:val="00452AB4"/>
    <w:rsid w:val="00487375"/>
    <w:rsid w:val="004A0EEF"/>
    <w:rsid w:val="004A34A3"/>
    <w:rsid w:val="004C1B7C"/>
    <w:rsid w:val="004C1DA9"/>
    <w:rsid w:val="004C77F1"/>
    <w:rsid w:val="00516D3E"/>
    <w:rsid w:val="00541039"/>
    <w:rsid w:val="005502CB"/>
    <w:rsid w:val="005564F8"/>
    <w:rsid w:val="0055664F"/>
    <w:rsid w:val="00594ABC"/>
    <w:rsid w:val="005A28F4"/>
    <w:rsid w:val="005A2D6A"/>
    <w:rsid w:val="005A3DFF"/>
    <w:rsid w:val="005C690B"/>
    <w:rsid w:val="005E1794"/>
    <w:rsid w:val="006278F4"/>
    <w:rsid w:val="00637194"/>
    <w:rsid w:val="00656A49"/>
    <w:rsid w:val="00676C3B"/>
    <w:rsid w:val="006778B3"/>
    <w:rsid w:val="0068285B"/>
    <w:rsid w:val="006867A3"/>
    <w:rsid w:val="006876A3"/>
    <w:rsid w:val="00693F49"/>
    <w:rsid w:val="0069539E"/>
    <w:rsid w:val="00697E33"/>
    <w:rsid w:val="006B56E4"/>
    <w:rsid w:val="006C3205"/>
    <w:rsid w:val="006C66BB"/>
    <w:rsid w:val="006D4383"/>
    <w:rsid w:val="006E4A0E"/>
    <w:rsid w:val="006F4360"/>
    <w:rsid w:val="00707A87"/>
    <w:rsid w:val="0072566D"/>
    <w:rsid w:val="00757F70"/>
    <w:rsid w:val="007768CE"/>
    <w:rsid w:val="007958D1"/>
    <w:rsid w:val="00795CEF"/>
    <w:rsid w:val="00797B35"/>
    <w:rsid w:val="007A4E62"/>
    <w:rsid w:val="007E106A"/>
    <w:rsid w:val="00800DA4"/>
    <w:rsid w:val="00801667"/>
    <w:rsid w:val="008110A8"/>
    <w:rsid w:val="00812D6B"/>
    <w:rsid w:val="008228EE"/>
    <w:rsid w:val="00843EA1"/>
    <w:rsid w:val="0084405C"/>
    <w:rsid w:val="00847C06"/>
    <w:rsid w:val="00850B94"/>
    <w:rsid w:val="00876DDB"/>
    <w:rsid w:val="00877DE2"/>
    <w:rsid w:val="0089765C"/>
    <w:rsid w:val="008D5DB5"/>
    <w:rsid w:val="008D7BD4"/>
    <w:rsid w:val="008F6AC8"/>
    <w:rsid w:val="00906909"/>
    <w:rsid w:val="0097272D"/>
    <w:rsid w:val="00983A3A"/>
    <w:rsid w:val="00996E43"/>
    <w:rsid w:val="009A0053"/>
    <w:rsid w:val="009A5688"/>
    <w:rsid w:val="009A5D88"/>
    <w:rsid w:val="009B60D4"/>
    <w:rsid w:val="009C446F"/>
    <w:rsid w:val="009D0865"/>
    <w:rsid w:val="009D7959"/>
    <w:rsid w:val="009F3A78"/>
    <w:rsid w:val="009F7F5A"/>
    <w:rsid w:val="00A15940"/>
    <w:rsid w:val="00A42DBD"/>
    <w:rsid w:val="00A56786"/>
    <w:rsid w:val="00A92670"/>
    <w:rsid w:val="00A93D12"/>
    <w:rsid w:val="00AA517A"/>
    <w:rsid w:val="00AA7DE0"/>
    <w:rsid w:val="00AC1DB1"/>
    <w:rsid w:val="00AC52CD"/>
    <w:rsid w:val="00AF7B34"/>
    <w:rsid w:val="00B10255"/>
    <w:rsid w:val="00B13125"/>
    <w:rsid w:val="00B20CA5"/>
    <w:rsid w:val="00B25E11"/>
    <w:rsid w:val="00B42493"/>
    <w:rsid w:val="00B52B4E"/>
    <w:rsid w:val="00B90D65"/>
    <w:rsid w:val="00B92C6A"/>
    <w:rsid w:val="00BA340F"/>
    <w:rsid w:val="00BA4695"/>
    <w:rsid w:val="00BB5152"/>
    <w:rsid w:val="00BB5D56"/>
    <w:rsid w:val="00BC1E3C"/>
    <w:rsid w:val="00BD0EBC"/>
    <w:rsid w:val="00C07CBD"/>
    <w:rsid w:val="00C32109"/>
    <w:rsid w:val="00C32EBA"/>
    <w:rsid w:val="00C40044"/>
    <w:rsid w:val="00C60B5C"/>
    <w:rsid w:val="00C72A1F"/>
    <w:rsid w:val="00C85628"/>
    <w:rsid w:val="00CB75C8"/>
    <w:rsid w:val="00CC6D85"/>
    <w:rsid w:val="00CD3A97"/>
    <w:rsid w:val="00CD4008"/>
    <w:rsid w:val="00CE1958"/>
    <w:rsid w:val="00CE37A3"/>
    <w:rsid w:val="00CF0B2E"/>
    <w:rsid w:val="00CF3D1D"/>
    <w:rsid w:val="00CF661F"/>
    <w:rsid w:val="00D16CAC"/>
    <w:rsid w:val="00D2093E"/>
    <w:rsid w:val="00D23F22"/>
    <w:rsid w:val="00D3034A"/>
    <w:rsid w:val="00D34359"/>
    <w:rsid w:val="00D41E73"/>
    <w:rsid w:val="00D50CB5"/>
    <w:rsid w:val="00D64322"/>
    <w:rsid w:val="00D64BE8"/>
    <w:rsid w:val="00D73054"/>
    <w:rsid w:val="00D92D82"/>
    <w:rsid w:val="00DB26C3"/>
    <w:rsid w:val="00DC6568"/>
    <w:rsid w:val="00DE1372"/>
    <w:rsid w:val="00DE15C2"/>
    <w:rsid w:val="00DE2513"/>
    <w:rsid w:val="00DF00E9"/>
    <w:rsid w:val="00DF2117"/>
    <w:rsid w:val="00DF73A2"/>
    <w:rsid w:val="00E17E53"/>
    <w:rsid w:val="00E337AF"/>
    <w:rsid w:val="00E40ADF"/>
    <w:rsid w:val="00E45A31"/>
    <w:rsid w:val="00E53296"/>
    <w:rsid w:val="00EB52BF"/>
    <w:rsid w:val="00EB6995"/>
    <w:rsid w:val="00EC1E16"/>
    <w:rsid w:val="00ED2D8F"/>
    <w:rsid w:val="00F05530"/>
    <w:rsid w:val="00F1049D"/>
    <w:rsid w:val="00F117D9"/>
    <w:rsid w:val="00F23632"/>
    <w:rsid w:val="00F35DF8"/>
    <w:rsid w:val="00F8061A"/>
    <w:rsid w:val="00F80AB1"/>
    <w:rsid w:val="00F85582"/>
    <w:rsid w:val="00F925DF"/>
    <w:rsid w:val="00FA02F8"/>
    <w:rsid w:val="00FA60F4"/>
    <w:rsid w:val="00FB3F95"/>
    <w:rsid w:val="00FE7B48"/>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chea.org/recognition-accreditation-organizations" TargetMode="External"/><Relationship Id="rId18" Type="http://schemas.openxmlformats.org/officeDocument/2006/relationships/hyperlink" Target="https://www.census.gov/newsroom/press-releases/2017/cb17-51.html" TargetMode="External"/><Relationship Id="rId3" Type="http://schemas.openxmlformats.org/officeDocument/2006/relationships/hyperlink" Target="https://eric.ed.gov/?id=EJ198251" TargetMode="External"/><Relationship Id="rId21" Type="http://schemas.openxmlformats.org/officeDocument/2006/relationships/hyperlink" Target="https://www.nytimes.com/2013/06/20/business/in-head-hunting-big-data-may-not-be-such-a-big-deal.html"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ourdocuments.gov/doc.php?flash=false&amp;doc=76" TargetMode="External"/><Relationship Id="rId17" Type="http://schemas.openxmlformats.org/officeDocument/2006/relationships/hyperlink" Target="https://nces.ed.gov/fastfacts/display.asp?id=372"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www.sciencedirect.com/science/article/abs/pii/0167487096800146"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www.acics.org/accreditation/content.aspx?id=2258"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s://hslda.org/content/docs/news/2016/201606240.asp"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luminafoundation.org/looking-back-to-move-forward-1" TargetMode="External"/><Relationship Id="rId22"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51F92-C86A-4D79-9A74-214A5B4D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10550</TotalTime>
  <Pages>11</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140</cp:revision>
  <dcterms:created xsi:type="dcterms:W3CDTF">2019-04-24T02:31:00Z</dcterms:created>
  <dcterms:modified xsi:type="dcterms:W3CDTF">2019-05-06T01:14:00Z</dcterms:modified>
</cp:coreProperties>
</file>